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CEAC" w14:textId="77777777" w:rsidR="00AB0821" w:rsidRDefault="00AB0821" w:rsidP="00AB0821">
      <w:pPr>
        <w:pStyle w:val="FLSHeading3Bold"/>
        <w:rPr>
          <w:lang w:val="en-GB"/>
        </w:rPr>
      </w:pPr>
      <w:r w:rsidRPr="00304569">
        <w:rPr>
          <w:lang w:val="en-GB"/>
        </w:rPr>
        <w:t xml:space="preserve">Appendix </w:t>
      </w:r>
      <w:r>
        <w:rPr>
          <w:lang w:val="en-GB"/>
        </w:rPr>
        <w:t>1</w:t>
      </w:r>
      <w:r w:rsidRPr="00304569">
        <w:rPr>
          <w:lang w:val="en-GB"/>
        </w:rPr>
        <w:t>:  Consultation record</w:t>
      </w:r>
    </w:p>
    <w:p w14:paraId="025D7D98" w14:textId="77777777" w:rsidR="00BB6D22" w:rsidRPr="00BB6D22" w:rsidRDefault="00BB6D22" w:rsidP="00BB6D22">
      <w:pPr>
        <w:pStyle w:val="FLSBody"/>
        <w:rPr>
          <w:b/>
          <w:bCs/>
          <w:lang w:val="en-GB"/>
        </w:rPr>
      </w:pPr>
      <w:r>
        <w:rPr>
          <w:b/>
          <w:bCs/>
          <w:lang w:val="en-GB"/>
        </w:rPr>
        <w:t>Standard Consultation</w:t>
      </w:r>
    </w:p>
    <w:p w14:paraId="57A7F347" w14:textId="77777777" w:rsidR="00AB0821" w:rsidRPr="00304569" w:rsidRDefault="00AB0821" w:rsidP="00AB0821">
      <w:pPr>
        <w:pStyle w:val="FLSBody"/>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sultation Record"/>
        <w:tblDescription w:val="This table records the issues raised and FLS response during the consultation process"/>
      </w:tblPr>
      <w:tblGrid>
        <w:gridCol w:w="2184"/>
        <w:gridCol w:w="2050"/>
        <w:gridCol w:w="5200"/>
        <w:gridCol w:w="4514"/>
      </w:tblGrid>
      <w:tr w:rsidR="00AB0821" w:rsidRPr="006C7A07" w14:paraId="0B9703BC" w14:textId="77777777" w:rsidTr="00AB0821">
        <w:trPr>
          <w:tblHeader/>
        </w:trPr>
        <w:tc>
          <w:tcPr>
            <w:tcW w:w="783" w:type="pct"/>
            <w:shd w:val="clear" w:color="auto" w:fill="D9D9D9"/>
          </w:tcPr>
          <w:p w14:paraId="612CDA70" w14:textId="77777777" w:rsidR="00AB0821" w:rsidRPr="00C8315C" w:rsidRDefault="00AB0821" w:rsidP="00B226B9">
            <w:pPr>
              <w:pStyle w:val="FLSBody"/>
              <w:rPr>
                <w:b/>
                <w:bCs/>
                <w:lang w:val="en-GB"/>
              </w:rPr>
            </w:pPr>
            <w:bookmarkStart w:id="0" w:name="_Hlk213919124"/>
            <w:r w:rsidRPr="00C8315C">
              <w:rPr>
                <w:b/>
                <w:bCs/>
                <w:lang w:val="en-GB"/>
              </w:rPr>
              <w:t xml:space="preserve">Issue </w:t>
            </w:r>
          </w:p>
        </w:tc>
        <w:tc>
          <w:tcPr>
            <w:tcW w:w="735" w:type="pct"/>
            <w:shd w:val="clear" w:color="auto" w:fill="D9D9D9"/>
          </w:tcPr>
          <w:p w14:paraId="10C4DDE5" w14:textId="77777777" w:rsidR="00AB0821" w:rsidRPr="00C8315C" w:rsidRDefault="00AB0821" w:rsidP="00B226B9">
            <w:pPr>
              <w:pStyle w:val="FLSBody"/>
              <w:rPr>
                <w:b/>
                <w:bCs/>
                <w:lang w:val="en-GB"/>
              </w:rPr>
            </w:pPr>
            <w:r w:rsidRPr="00C8315C">
              <w:rPr>
                <w:b/>
                <w:bCs/>
                <w:lang w:val="en-GB"/>
              </w:rPr>
              <w:t>Raised by</w:t>
            </w:r>
          </w:p>
        </w:tc>
        <w:tc>
          <w:tcPr>
            <w:tcW w:w="1864" w:type="pct"/>
            <w:shd w:val="clear" w:color="auto" w:fill="D9D9D9"/>
          </w:tcPr>
          <w:p w14:paraId="6B81608C" w14:textId="77777777" w:rsidR="00AB0821" w:rsidRPr="00C8315C" w:rsidRDefault="00AB0821" w:rsidP="00B226B9">
            <w:pPr>
              <w:pStyle w:val="FLSBody"/>
              <w:rPr>
                <w:b/>
                <w:bCs/>
                <w:lang w:val="en-GB"/>
              </w:rPr>
            </w:pPr>
            <w:r w:rsidRPr="00C8315C">
              <w:rPr>
                <w:b/>
                <w:bCs/>
                <w:lang w:val="en-GB"/>
              </w:rPr>
              <w:t>Requirement / Recommendation / Concern / Aspiration</w:t>
            </w:r>
          </w:p>
        </w:tc>
        <w:tc>
          <w:tcPr>
            <w:tcW w:w="1618" w:type="pct"/>
            <w:shd w:val="clear" w:color="auto" w:fill="D9D9D9"/>
          </w:tcPr>
          <w:p w14:paraId="5D61CA34" w14:textId="77777777" w:rsidR="00AB0821" w:rsidRPr="00C8315C" w:rsidRDefault="00AB0821" w:rsidP="00B226B9">
            <w:pPr>
              <w:pStyle w:val="FLSBody"/>
              <w:rPr>
                <w:b/>
                <w:bCs/>
                <w:lang w:val="en-GB"/>
              </w:rPr>
            </w:pPr>
            <w:r w:rsidRPr="00C8315C">
              <w:rPr>
                <w:b/>
                <w:bCs/>
                <w:lang w:val="en-GB"/>
              </w:rPr>
              <w:t>FLS Response</w:t>
            </w:r>
          </w:p>
        </w:tc>
      </w:tr>
      <w:bookmarkEnd w:id="0"/>
      <w:tr w:rsidR="00B32D8A" w14:paraId="3F3E0FDE" w14:textId="77777777" w:rsidTr="00242A1B">
        <w:tc>
          <w:tcPr>
            <w:tcW w:w="783" w:type="pct"/>
          </w:tcPr>
          <w:p w14:paraId="3B770AC7" w14:textId="77777777" w:rsidR="00B32D8A" w:rsidRDefault="00C11361" w:rsidP="00C11361">
            <w:pPr>
              <w:pStyle w:val="FLSBody"/>
            </w:pPr>
            <w:r>
              <w:t>Heritage assessment needed</w:t>
            </w:r>
          </w:p>
        </w:tc>
        <w:tc>
          <w:tcPr>
            <w:tcW w:w="735" w:type="pct"/>
          </w:tcPr>
          <w:p w14:paraId="60E55912" w14:textId="77777777" w:rsidR="00B32D8A" w:rsidRDefault="00C11361" w:rsidP="00C11361">
            <w:pPr>
              <w:pStyle w:val="FLSBody"/>
            </w:pPr>
            <w:r>
              <w:t>PKC Archaeology</w:t>
            </w:r>
          </w:p>
        </w:tc>
        <w:tc>
          <w:tcPr>
            <w:tcW w:w="1864" w:type="pct"/>
          </w:tcPr>
          <w:p w14:paraId="5996ED24" w14:textId="77777777" w:rsidR="00B32D8A" w:rsidRDefault="00C11361" w:rsidP="00C11361">
            <w:pPr>
              <w:pStyle w:val="FLSBody"/>
            </w:pPr>
            <w:r>
              <w:t>Desk-based and walkover surveys recommended.</w:t>
            </w:r>
          </w:p>
        </w:tc>
        <w:tc>
          <w:tcPr>
            <w:tcW w:w="1618" w:type="pct"/>
          </w:tcPr>
          <w:p w14:paraId="0E14639C" w14:textId="77777777" w:rsidR="00B32D8A" w:rsidRDefault="00C11361" w:rsidP="00C11361">
            <w:pPr>
              <w:pStyle w:val="FLSBody"/>
            </w:pPr>
            <w:r>
              <w:t>LMP Section C.2.10 commits to archaeological surveys before operations, marking heritage features, and excluding them from ground disturbance.</w:t>
            </w:r>
          </w:p>
        </w:tc>
      </w:tr>
      <w:tr w:rsidR="00B32D8A" w14:paraId="04FD862A" w14:textId="77777777" w:rsidTr="00242A1B">
        <w:tc>
          <w:tcPr>
            <w:tcW w:w="783" w:type="pct"/>
          </w:tcPr>
          <w:p w14:paraId="4AF39A54" w14:textId="77777777" w:rsidR="00B32D8A" w:rsidRDefault="00C11361" w:rsidP="00C11361">
            <w:pPr>
              <w:pStyle w:val="FLSBody"/>
            </w:pPr>
            <w:r>
              <w:t>Active management of Deuchny Hillfort</w:t>
            </w:r>
          </w:p>
        </w:tc>
        <w:tc>
          <w:tcPr>
            <w:tcW w:w="735" w:type="pct"/>
          </w:tcPr>
          <w:p w14:paraId="7E746AD1" w14:textId="77777777" w:rsidR="00B32D8A" w:rsidRDefault="00C11361" w:rsidP="00C11361">
            <w:pPr>
              <w:pStyle w:val="FLSBody"/>
            </w:pPr>
            <w:r>
              <w:t>PKC Archaeology</w:t>
            </w:r>
          </w:p>
        </w:tc>
        <w:tc>
          <w:tcPr>
            <w:tcW w:w="1864" w:type="pct"/>
          </w:tcPr>
          <w:p w14:paraId="5332E01E" w14:textId="77777777" w:rsidR="00B32D8A" w:rsidRDefault="00C11361" w:rsidP="00C11361">
            <w:pPr>
              <w:pStyle w:val="FLSBody"/>
            </w:pPr>
            <w:r>
              <w:t>Support for active management; consult HES.</w:t>
            </w:r>
          </w:p>
        </w:tc>
        <w:tc>
          <w:tcPr>
            <w:tcW w:w="1618" w:type="pct"/>
          </w:tcPr>
          <w:p w14:paraId="61CCB30B" w14:textId="77777777" w:rsidR="00B32D8A" w:rsidRDefault="00C11361" w:rsidP="00C11361">
            <w:pPr>
              <w:pStyle w:val="FLSBody"/>
            </w:pPr>
            <w:r>
              <w:t>LMP C.2.10: regular monitoring, scrub clearance, adherence to HES and UKFS guidelines, access protection.</w:t>
            </w:r>
          </w:p>
        </w:tc>
      </w:tr>
      <w:tr w:rsidR="00B32D8A" w14:paraId="1AF296F7" w14:textId="77777777" w:rsidTr="00242A1B">
        <w:tc>
          <w:tcPr>
            <w:tcW w:w="783" w:type="pct"/>
          </w:tcPr>
          <w:p w14:paraId="0D10B295" w14:textId="77777777" w:rsidR="00B32D8A" w:rsidRDefault="00C11361" w:rsidP="00C11361">
            <w:pPr>
              <w:pStyle w:val="FLSBody"/>
            </w:pPr>
            <w:r>
              <w:t>SSSI buffer</w:t>
            </w:r>
          </w:p>
        </w:tc>
        <w:tc>
          <w:tcPr>
            <w:tcW w:w="735" w:type="pct"/>
          </w:tcPr>
          <w:p w14:paraId="549FAFE1" w14:textId="77777777" w:rsidR="00B32D8A" w:rsidRDefault="00C11361" w:rsidP="00C11361">
            <w:pPr>
              <w:pStyle w:val="FLSBody"/>
            </w:pPr>
            <w:r>
              <w:t>NatureScot</w:t>
            </w:r>
          </w:p>
        </w:tc>
        <w:tc>
          <w:tcPr>
            <w:tcW w:w="1864" w:type="pct"/>
          </w:tcPr>
          <w:p w14:paraId="0D2B3BF5" w14:textId="77777777" w:rsidR="00B32D8A" w:rsidRDefault="00C11361" w:rsidP="00C11361">
            <w:pPr>
              <w:pStyle w:val="FLSBody"/>
            </w:pPr>
            <w:r>
              <w:t>Native broadleaf buffer adjacent to Kinnoull Hill SSSI.</w:t>
            </w:r>
          </w:p>
        </w:tc>
        <w:tc>
          <w:tcPr>
            <w:tcW w:w="1618" w:type="pct"/>
          </w:tcPr>
          <w:p w14:paraId="4EA7EB16" w14:textId="77777777" w:rsidR="00B32D8A" w:rsidRDefault="00C11361" w:rsidP="00C11361">
            <w:pPr>
              <w:pStyle w:val="FLSBody"/>
            </w:pPr>
            <w:r>
              <w:t>LMP C.2.5 &amp; C.2.11: riparian broadleaves, habitat buffers, and Natural Reserve on Kinnoull Crags safeguard SSSI edges.</w:t>
            </w:r>
          </w:p>
        </w:tc>
      </w:tr>
      <w:tr w:rsidR="00B32D8A" w14:paraId="37DE998E" w14:textId="77777777" w:rsidTr="00242A1B">
        <w:tc>
          <w:tcPr>
            <w:tcW w:w="783" w:type="pct"/>
          </w:tcPr>
          <w:p w14:paraId="679651C0" w14:textId="77777777" w:rsidR="00B32D8A" w:rsidRDefault="00C11361" w:rsidP="00C11361">
            <w:pPr>
              <w:pStyle w:val="FLSBody"/>
            </w:pPr>
            <w:r>
              <w:t>Protect rocky cliffs</w:t>
            </w:r>
          </w:p>
        </w:tc>
        <w:tc>
          <w:tcPr>
            <w:tcW w:w="735" w:type="pct"/>
          </w:tcPr>
          <w:p w14:paraId="0CCB32A8" w14:textId="77777777" w:rsidR="00B32D8A" w:rsidRDefault="00C11361" w:rsidP="00C11361">
            <w:pPr>
              <w:pStyle w:val="FLSBody"/>
            </w:pPr>
            <w:r>
              <w:t>NatureScot</w:t>
            </w:r>
          </w:p>
        </w:tc>
        <w:tc>
          <w:tcPr>
            <w:tcW w:w="1864" w:type="pct"/>
          </w:tcPr>
          <w:p w14:paraId="6A630CD4" w14:textId="77777777" w:rsidR="00B32D8A" w:rsidRDefault="00C11361" w:rsidP="00C11361">
            <w:pPr>
              <w:pStyle w:val="FLSBody"/>
            </w:pPr>
            <w:r>
              <w:t>Protect cliff habitats during larch removal.</w:t>
            </w:r>
          </w:p>
        </w:tc>
        <w:tc>
          <w:tcPr>
            <w:tcW w:w="1618" w:type="pct"/>
          </w:tcPr>
          <w:p w14:paraId="74F00AE3" w14:textId="77777777" w:rsidR="00B32D8A" w:rsidRDefault="00C11361" w:rsidP="00C11361">
            <w:pPr>
              <w:pStyle w:val="FLSBody"/>
            </w:pPr>
            <w:r>
              <w:t>LMP C.2.4 retains steep crags as Natural Reserve; no operations on unstable cliff faces.</w:t>
            </w:r>
          </w:p>
        </w:tc>
      </w:tr>
      <w:tr w:rsidR="00B32D8A" w14:paraId="2AC0EC78" w14:textId="77777777" w:rsidTr="00242A1B">
        <w:tc>
          <w:tcPr>
            <w:tcW w:w="783" w:type="pct"/>
          </w:tcPr>
          <w:p w14:paraId="71B5B66C" w14:textId="77777777" w:rsidR="00B32D8A" w:rsidRDefault="00C11361" w:rsidP="00C11361">
            <w:pPr>
              <w:pStyle w:val="FLSBody"/>
            </w:pPr>
            <w:r>
              <w:t>River Tay SAC</w:t>
            </w:r>
          </w:p>
        </w:tc>
        <w:tc>
          <w:tcPr>
            <w:tcW w:w="735" w:type="pct"/>
          </w:tcPr>
          <w:p w14:paraId="63244545" w14:textId="77777777" w:rsidR="00B32D8A" w:rsidRDefault="00C11361" w:rsidP="00C11361">
            <w:pPr>
              <w:pStyle w:val="FLSBody"/>
            </w:pPr>
            <w:r>
              <w:t>NatureScot</w:t>
            </w:r>
          </w:p>
        </w:tc>
        <w:tc>
          <w:tcPr>
            <w:tcW w:w="1864" w:type="pct"/>
          </w:tcPr>
          <w:p w14:paraId="0182419C" w14:textId="77777777" w:rsidR="00B32D8A" w:rsidRDefault="00C11361" w:rsidP="00C11361">
            <w:pPr>
              <w:pStyle w:val="FLSBody"/>
            </w:pPr>
            <w:r>
              <w:t>Standard UKFS guidelines sufficient.</w:t>
            </w:r>
          </w:p>
        </w:tc>
        <w:tc>
          <w:tcPr>
            <w:tcW w:w="1618" w:type="pct"/>
          </w:tcPr>
          <w:p w14:paraId="7D1BB378" w14:textId="77777777" w:rsidR="00B32D8A" w:rsidRDefault="00C11361" w:rsidP="00C11361">
            <w:pPr>
              <w:pStyle w:val="FLSBody"/>
            </w:pPr>
            <w:r>
              <w:t>LMP C.2.15 Hydrology: UKFS-compliant buffers, drain remediation, riparian restoration.</w:t>
            </w:r>
          </w:p>
        </w:tc>
      </w:tr>
      <w:tr w:rsidR="00B32D8A" w14:paraId="1F19DFF1" w14:textId="77777777" w:rsidTr="00242A1B">
        <w:tc>
          <w:tcPr>
            <w:tcW w:w="783" w:type="pct"/>
          </w:tcPr>
          <w:p w14:paraId="463C8FEF" w14:textId="77777777" w:rsidR="00B32D8A" w:rsidRDefault="00C11361" w:rsidP="00C11361">
            <w:pPr>
              <w:pStyle w:val="FLSBody"/>
            </w:pPr>
            <w:r>
              <w:t>Firth of Tay SAC</w:t>
            </w:r>
          </w:p>
        </w:tc>
        <w:tc>
          <w:tcPr>
            <w:tcW w:w="735" w:type="pct"/>
          </w:tcPr>
          <w:p w14:paraId="1C6AA396" w14:textId="77777777" w:rsidR="00B32D8A" w:rsidRDefault="00C11361" w:rsidP="00C11361">
            <w:pPr>
              <w:pStyle w:val="FLSBody"/>
            </w:pPr>
            <w:r>
              <w:t>NatureScot</w:t>
            </w:r>
          </w:p>
        </w:tc>
        <w:tc>
          <w:tcPr>
            <w:tcW w:w="1864" w:type="pct"/>
          </w:tcPr>
          <w:p w14:paraId="42126A37" w14:textId="77777777" w:rsidR="00B32D8A" w:rsidRDefault="00C11361" w:rsidP="00C11361">
            <w:pPr>
              <w:pStyle w:val="FLSBody"/>
            </w:pPr>
            <w:r>
              <w:t>Standard UKFS guidelines sufficient.</w:t>
            </w:r>
          </w:p>
        </w:tc>
        <w:tc>
          <w:tcPr>
            <w:tcW w:w="1618" w:type="pct"/>
          </w:tcPr>
          <w:p w14:paraId="578186B6" w14:textId="77777777" w:rsidR="00B32D8A" w:rsidRDefault="00C11361" w:rsidP="00C11361">
            <w:pPr>
              <w:pStyle w:val="FLSBody"/>
            </w:pPr>
            <w:r>
              <w:t>LMP C.2.15: watercourse protections, riparian habitat continuity.</w:t>
            </w:r>
          </w:p>
        </w:tc>
      </w:tr>
      <w:tr w:rsidR="00B32D8A" w14:paraId="2CE44671" w14:textId="77777777" w:rsidTr="00242A1B">
        <w:tc>
          <w:tcPr>
            <w:tcW w:w="783" w:type="pct"/>
          </w:tcPr>
          <w:p w14:paraId="3EB0E2A3" w14:textId="77777777" w:rsidR="00B32D8A" w:rsidRDefault="00C11361" w:rsidP="00C11361">
            <w:pPr>
              <w:pStyle w:val="FLSBody"/>
            </w:pPr>
            <w:r>
              <w:t>Drain clearance mitigations</w:t>
            </w:r>
          </w:p>
        </w:tc>
        <w:tc>
          <w:tcPr>
            <w:tcW w:w="735" w:type="pct"/>
          </w:tcPr>
          <w:p w14:paraId="22F36900" w14:textId="77777777" w:rsidR="00B32D8A" w:rsidRDefault="00C11361" w:rsidP="00C11361">
            <w:pPr>
              <w:pStyle w:val="FLSBody"/>
            </w:pPr>
            <w:r>
              <w:t>NatureScot</w:t>
            </w:r>
          </w:p>
        </w:tc>
        <w:tc>
          <w:tcPr>
            <w:tcW w:w="1864" w:type="pct"/>
          </w:tcPr>
          <w:p w14:paraId="6F0FDA0C" w14:textId="77777777" w:rsidR="00B32D8A" w:rsidRDefault="00C11361" w:rsidP="00C11361">
            <w:pPr>
              <w:pStyle w:val="FLSBody"/>
            </w:pPr>
            <w:r>
              <w:t>Additional mitigation at Paddockmuir.</w:t>
            </w:r>
          </w:p>
        </w:tc>
        <w:tc>
          <w:tcPr>
            <w:tcW w:w="1618" w:type="pct"/>
          </w:tcPr>
          <w:p w14:paraId="4E2CEF47" w14:textId="77777777" w:rsidR="00B32D8A" w:rsidRDefault="00C11361" w:rsidP="00C11361">
            <w:pPr>
              <w:pStyle w:val="FLSBody"/>
            </w:pPr>
            <w:r>
              <w:t>LMP Hydrology: anti-siltation devices, legacy drain remediation, no direct discharge to watercourses.</w:t>
            </w:r>
          </w:p>
        </w:tc>
      </w:tr>
      <w:tr w:rsidR="00B32D8A" w14:paraId="11BA07B5" w14:textId="77777777" w:rsidTr="00242A1B">
        <w:tc>
          <w:tcPr>
            <w:tcW w:w="783" w:type="pct"/>
          </w:tcPr>
          <w:p w14:paraId="4C6F3A1C" w14:textId="77777777" w:rsidR="00B32D8A" w:rsidRDefault="00C11361" w:rsidP="00C11361">
            <w:pPr>
              <w:pStyle w:val="FLSBody"/>
            </w:pPr>
            <w:r>
              <w:lastRenderedPageBreak/>
              <w:t>Protect raptors</w:t>
            </w:r>
          </w:p>
        </w:tc>
        <w:tc>
          <w:tcPr>
            <w:tcW w:w="735" w:type="pct"/>
          </w:tcPr>
          <w:p w14:paraId="621534F0" w14:textId="77777777" w:rsidR="00B32D8A" w:rsidRDefault="00C11361" w:rsidP="00C11361">
            <w:pPr>
              <w:pStyle w:val="FLSBody"/>
            </w:pPr>
            <w:r>
              <w:t>NatureScot</w:t>
            </w:r>
          </w:p>
        </w:tc>
        <w:tc>
          <w:tcPr>
            <w:tcW w:w="1864" w:type="pct"/>
          </w:tcPr>
          <w:p w14:paraId="629CC330" w14:textId="67E02E59" w:rsidR="00B32D8A" w:rsidRDefault="00C11361" w:rsidP="00C11361">
            <w:pPr>
              <w:pStyle w:val="FLSBody"/>
            </w:pPr>
            <w:r>
              <w:t xml:space="preserve">Consult raptor group </w:t>
            </w:r>
            <w:r w:rsidR="008218C2">
              <w:t>prior to operations</w:t>
            </w:r>
            <w:r>
              <w:t>.</w:t>
            </w:r>
          </w:p>
        </w:tc>
        <w:tc>
          <w:tcPr>
            <w:tcW w:w="1618" w:type="pct"/>
          </w:tcPr>
          <w:p w14:paraId="32F8E6C6" w14:textId="6C4A4A9C" w:rsidR="00B32D8A" w:rsidRDefault="00C11361" w:rsidP="00C11361">
            <w:pPr>
              <w:pStyle w:val="FLSBody"/>
            </w:pPr>
            <w:r>
              <w:t>LMP C.2.11: Schedule 1 species protected; operations follow NatureScot guidance &amp; seasonal restrictions.</w:t>
            </w:r>
            <w:r w:rsidR="008218C2">
              <w:t xml:space="preserve"> Raptor group to be informed prior to operations.</w:t>
            </w:r>
          </w:p>
        </w:tc>
      </w:tr>
      <w:tr w:rsidR="00B32D8A" w14:paraId="59BADA73" w14:textId="77777777" w:rsidTr="00242A1B">
        <w:tc>
          <w:tcPr>
            <w:tcW w:w="783" w:type="pct"/>
          </w:tcPr>
          <w:p w14:paraId="28C67310" w14:textId="77777777" w:rsidR="00B32D8A" w:rsidRDefault="00C11361" w:rsidP="00C11361">
            <w:pPr>
              <w:pStyle w:val="FLSBody"/>
            </w:pPr>
            <w:r>
              <w:t>Inner Tay Estuary SSSI</w:t>
            </w:r>
          </w:p>
        </w:tc>
        <w:tc>
          <w:tcPr>
            <w:tcW w:w="735" w:type="pct"/>
          </w:tcPr>
          <w:p w14:paraId="6038EB27" w14:textId="77777777" w:rsidR="00B32D8A" w:rsidRDefault="00C11361" w:rsidP="00C11361">
            <w:pPr>
              <w:pStyle w:val="FLSBody"/>
            </w:pPr>
            <w:r>
              <w:t>NatureScot</w:t>
            </w:r>
          </w:p>
        </w:tc>
        <w:tc>
          <w:tcPr>
            <w:tcW w:w="1864" w:type="pct"/>
          </w:tcPr>
          <w:p w14:paraId="02A215CE" w14:textId="369C426D" w:rsidR="00B32D8A" w:rsidRDefault="008218C2" w:rsidP="00C11361">
            <w:pPr>
              <w:pStyle w:val="FLSBody"/>
            </w:pPr>
            <w:r>
              <w:t>Standard UKFS protection</w:t>
            </w:r>
            <w:r w:rsidR="00C11361">
              <w:t xml:space="preserve"> measures sufficient.</w:t>
            </w:r>
          </w:p>
        </w:tc>
        <w:tc>
          <w:tcPr>
            <w:tcW w:w="1618" w:type="pct"/>
          </w:tcPr>
          <w:p w14:paraId="1F2B4320" w14:textId="77777777" w:rsidR="00B32D8A" w:rsidRDefault="00C11361" w:rsidP="00C11361">
            <w:pPr>
              <w:pStyle w:val="FLSBody"/>
            </w:pPr>
            <w:r>
              <w:t>LMP includes buffers, riparian enhancement, minimal disturbance principles (C.2.11).</w:t>
            </w:r>
          </w:p>
        </w:tc>
      </w:tr>
      <w:tr w:rsidR="00B32D8A" w14:paraId="7AD86594" w14:textId="77777777" w:rsidTr="00242A1B">
        <w:tc>
          <w:tcPr>
            <w:tcW w:w="783" w:type="pct"/>
          </w:tcPr>
          <w:p w14:paraId="705B449E" w14:textId="77777777" w:rsidR="00B32D8A" w:rsidRDefault="00C11361" w:rsidP="00C11361">
            <w:pPr>
              <w:pStyle w:val="FLSBody"/>
            </w:pPr>
            <w:r>
              <w:t>Deer Management Plan</w:t>
            </w:r>
          </w:p>
        </w:tc>
        <w:tc>
          <w:tcPr>
            <w:tcW w:w="735" w:type="pct"/>
          </w:tcPr>
          <w:p w14:paraId="78644F3D" w14:textId="77777777" w:rsidR="00B32D8A" w:rsidRDefault="00C11361" w:rsidP="00C11361">
            <w:pPr>
              <w:pStyle w:val="FLSBody"/>
            </w:pPr>
            <w:r>
              <w:t>NatureScot</w:t>
            </w:r>
          </w:p>
        </w:tc>
        <w:tc>
          <w:tcPr>
            <w:tcW w:w="1864" w:type="pct"/>
          </w:tcPr>
          <w:p w14:paraId="3B40E274" w14:textId="77777777" w:rsidR="00B32D8A" w:rsidRDefault="00C11361" w:rsidP="00C11361">
            <w:pPr>
              <w:pStyle w:val="FLSBody"/>
            </w:pPr>
            <w:r>
              <w:t>Include DMP.</w:t>
            </w:r>
          </w:p>
        </w:tc>
        <w:tc>
          <w:tcPr>
            <w:tcW w:w="1618" w:type="pct"/>
          </w:tcPr>
          <w:p w14:paraId="433C4964" w14:textId="455D0C11" w:rsidR="00B32D8A" w:rsidRDefault="00C11361" w:rsidP="00C11361">
            <w:pPr>
              <w:pStyle w:val="FLSBody"/>
            </w:pPr>
            <w:r>
              <w:t>Full DMP in Appendix 4; roe deer control maintained (C.2.6).</w:t>
            </w:r>
          </w:p>
        </w:tc>
      </w:tr>
      <w:tr w:rsidR="00B32D8A" w14:paraId="2FA89403" w14:textId="77777777" w:rsidTr="00242A1B">
        <w:tc>
          <w:tcPr>
            <w:tcW w:w="783" w:type="pct"/>
          </w:tcPr>
          <w:p w14:paraId="5ABDE051" w14:textId="77777777" w:rsidR="00B32D8A" w:rsidRDefault="00C11361" w:rsidP="00C11361">
            <w:pPr>
              <w:pStyle w:val="FLSBody"/>
            </w:pPr>
            <w:r>
              <w:t>Protect water assets</w:t>
            </w:r>
          </w:p>
        </w:tc>
        <w:tc>
          <w:tcPr>
            <w:tcW w:w="735" w:type="pct"/>
          </w:tcPr>
          <w:p w14:paraId="41535F83" w14:textId="77777777" w:rsidR="00B32D8A" w:rsidRDefault="00C11361" w:rsidP="00C11361">
            <w:pPr>
              <w:pStyle w:val="FLSBody"/>
            </w:pPr>
            <w:r>
              <w:t>Scottish Water</w:t>
            </w:r>
          </w:p>
        </w:tc>
        <w:tc>
          <w:tcPr>
            <w:tcW w:w="1864" w:type="pct"/>
          </w:tcPr>
          <w:p w14:paraId="3684077F" w14:textId="77777777" w:rsidR="00B32D8A" w:rsidRDefault="00C11361" w:rsidP="00C11361">
            <w:pPr>
              <w:pStyle w:val="FLSBody"/>
            </w:pPr>
            <w:r>
              <w:t>Apply standard precautions.</w:t>
            </w:r>
          </w:p>
        </w:tc>
        <w:tc>
          <w:tcPr>
            <w:tcW w:w="1618" w:type="pct"/>
          </w:tcPr>
          <w:p w14:paraId="022063FD" w14:textId="77777777" w:rsidR="00B32D8A" w:rsidRDefault="00C11361" w:rsidP="00C11361">
            <w:pPr>
              <w:pStyle w:val="FLSBody"/>
            </w:pPr>
            <w:r>
              <w:t>LMP C.2.15 identifies PWS infrastructure, applies buffers, safeguarding measures.</w:t>
            </w:r>
          </w:p>
        </w:tc>
      </w:tr>
      <w:tr w:rsidR="00B32D8A" w14:paraId="407B5244" w14:textId="77777777" w:rsidTr="00242A1B">
        <w:tc>
          <w:tcPr>
            <w:tcW w:w="783" w:type="pct"/>
          </w:tcPr>
          <w:p w14:paraId="71430C48" w14:textId="77777777" w:rsidR="00B32D8A" w:rsidRDefault="00C11361" w:rsidP="00C11361">
            <w:pPr>
              <w:pStyle w:val="FLSBody"/>
            </w:pPr>
            <w:r>
              <w:t>Standard guidance</w:t>
            </w:r>
          </w:p>
        </w:tc>
        <w:tc>
          <w:tcPr>
            <w:tcW w:w="735" w:type="pct"/>
          </w:tcPr>
          <w:p w14:paraId="343B2B28" w14:textId="77777777" w:rsidR="00B32D8A" w:rsidRDefault="00C11361" w:rsidP="00C11361">
            <w:pPr>
              <w:pStyle w:val="FLSBody"/>
            </w:pPr>
            <w:r>
              <w:t>SEPA</w:t>
            </w:r>
          </w:p>
        </w:tc>
        <w:tc>
          <w:tcPr>
            <w:tcW w:w="1864" w:type="pct"/>
          </w:tcPr>
          <w:p w14:paraId="5CF360E4" w14:textId="77777777" w:rsidR="00B32D8A" w:rsidRDefault="00C11361" w:rsidP="00C11361">
            <w:pPr>
              <w:pStyle w:val="FLSBody"/>
            </w:pPr>
            <w:r>
              <w:t xml:space="preserve">No </w:t>
            </w:r>
            <w:proofErr w:type="gramStart"/>
            <w:r>
              <w:t>issues;</w:t>
            </w:r>
            <w:proofErr w:type="gramEnd"/>
            <w:r>
              <w:t xml:space="preserve"> guidance attached.</w:t>
            </w:r>
          </w:p>
        </w:tc>
        <w:tc>
          <w:tcPr>
            <w:tcW w:w="1618" w:type="pct"/>
          </w:tcPr>
          <w:p w14:paraId="7FD8EFFA" w14:textId="77777777" w:rsidR="00B32D8A" w:rsidRDefault="00C11361" w:rsidP="00C11361">
            <w:pPr>
              <w:pStyle w:val="FLSBody"/>
            </w:pPr>
            <w:r>
              <w:t>LMP incorporates SEPA standards for pollution prevention, soil &amp; water protection (C.2.15).</w:t>
            </w:r>
          </w:p>
        </w:tc>
      </w:tr>
      <w:tr w:rsidR="00B32D8A" w14:paraId="12817BA4" w14:textId="77777777" w:rsidTr="00242A1B">
        <w:tc>
          <w:tcPr>
            <w:tcW w:w="783" w:type="pct"/>
          </w:tcPr>
          <w:p w14:paraId="560FCBB3" w14:textId="77777777" w:rsidR="00B32D8A" w:rsidRDefault="00C11361" w:rsidP="00C11361">
            <w:pPr>
              <w:pStyle w:val="FLSBody"/>
            </w:pPr>
            <w:r>
              <w:t>Path connection</w:t>
            </w:r>
          </w:p>
        </w:tc>
        <w:tc>
          <w:tcPr>
            <w:tcW w:w="735" w:type="pct"/>
          </w:tcPr>
          <w:p w14:paraId="3706796E" w14:textId="77777777" w:rsidR="00B32D8A" w:rsidRDefault="00C11361" w:rsidP="00C11361">
            <w:pPr>
              <w:pStyle w:val="FLSBody"/>
            </w:pPr>
            <w:r>
              <w:t>Gannochy Trust</w:t>
            </w:r>
          </w:p>
        </w:tc>
        <w:tc>
          <w:tcPr>
            <w:tcW w:w="1864" w:type="pct"/>
          </w:tcPr>
          <w:p w14:paraId="0E6D3DEA" w14:textId="77777777" w:rsidR="00B32D8A" w:rsidRDefault="00C11361" w:rsidP="00C11361">
            <w:pPr>
              <w:pStyle w:val="FLSBody"/>
            </w:pPr>
            <w:r>
              <w:t>Noted new path link.</w:t>
            </w:r>
          </w:p>
        </w:tc>
        <w:tc>
          <w:tcPr>
            <w:tcW w:w="1618" w:type="pct"/>
          </w:tcPr>
          <w:p w14:paraId="0FED0264" w14:textId="77777777" w:rsidR="00B32D8A" w:rsidRDefault="00C11361" w:rsidP="00C11361">
            <w:pPr>
              <w:pStyle w:val="FLSBody"/>
            </w:pPr>
            <w:r>
              <w:t>LMP A.6.7 &amp; C.2.9 keep paths maintained and integrated.</w:t>
            </w:r>
          </w:p>
        </w:tc>
      </w:tr>
      <w:tr w:rsidR="00B32D8A" w14:paraId="0FF46474" w14:textId="77777777" w:rsidTr="00242A1B">
        <w:tc>
          <w:tcPr>
            <w:tcW w:w="783" w:type="pct"/>
          </w:tcPr>
          <w:p w14:paraId="0C70F6BB" w14:textId="77777777" w:rsidR="00B32D8A" w:rsidRDefault="00C11361" w:rsidP="00C11361">
            <w:pPr>
              <w:pStyle w:val="FLSBody"/>
            </w:pPr>
            <w:r>
              <w:t>Reference Kinfauns Castle GDL</w:t>
            </w:r>
          </w:p>
        </w:tc>
        <w:tc>
          <w:tcPr>
            <w:tcW w:w="735" w:type="pct"/>
          </w:tcPr>
          <w:p w14:paraId="64B62798" w14:textId="77777777" w:rsidR="00B32D8A" w:rsidRDefault="00C11361" w:rsidP="00C11361">
            <w:pPr>
              <w:pStyle w:val="FLSBody"/>
            </w:pPr>
            <w:r>
              <w:t>HES</w:t>
            </w:r>
          </w:p>
        </w:tc>
        <w:tc>
          <w:tcPr>
            <w:tcW w:w="1864" w:type="pct"/>
          </w:tcPr>
          <w:p w14:paraId="3B19CCE2" w14:textId="77777777" w:rsidR="00B32D8A" w:rsidRDefault="00C11361" w:rsidP="00C11361">
            <w:pPr>
              <w:pStyle w:val="FLSBody"/>
            </w:pPr>
            <w:r>
              <w:t>Add GDL reference.</w:t>
            </w:r>
          </w:p>
        </w:tc>
        <w:tc>
          <w:tcPr>
            <w:tcW w:w="1618" w:type="pct"/>
          </w:tcPr>
          <w:p w14:paraId="67D5CBB2" w14:textId="77777777" w:rsidR="00B32D8A" w:rsidRDefault="00C11361" w:rsidP="00C11361">
            <w:pPr>
              <w:pStyle w:val="FLSBody"/>
            </w:pPr>
            <w:r>
              <w:t>LMP C.2.10 includes full GDL section describing significance and management.</w:t>
            </w:r>
          </w:p>
        </w:tc>
      </w:tr>
      <w:tr w:rsidR="00B32D8A" w14:paraId="5135D9A9" w14:textId="77777777" w:rsidTr="00242A1B">
        <w:tc>
          <w:tcPr>
            <w:tcW w:w="783" w:type="pct"/>
          </w:tcPr>
          <w:p w14:paraId="2DBE6220" w14:textId="77777777" w:rsidR="00B32D8A" w:rsidRDefault="00C11361" w:rsidP="00C11361">
            <w:pPr>
              <w:pStyle w:val="FLSBody"/>
            </w:pPr>
            <w:r>
              <w:t>Include sites on maps</w:t>
            </w:r>
          </w:p>
        </w:tc>
        <w:tc>
          <w:tcPr>
            <w:tcW w:w="735" w:type="pct"/>
          </w:tcPr>
          <w:p w14:paraId="7BC73100" w14:textId="77777777" w:rsidR="00B32D8A" w:rsidRDefault="00C11361" w:rsidP="00C11361">
            <w:pPr>
              <w:pStyle w:val="FLSBody"/>
            </w:pPr>
            <w:r>
              <w:t>HES</w:t>
            </w:r>
          </w:p>
        </w:tc>
        <w:tc>
          <w:tcPr>
            <w:tcW w:w="1864" w:type="pct"/>
          </w:tcPr>
          <w:p w14:paraId="23AFC2DD" w14:textId="77777777" w:rsidR="00B32D8A" w:rsidRDefault="00C11361" w:rsidP="00C11361">
            <w:pPr>
              <w:pStyle w:val="FLSBody"/>
            </w:pPr>
            <w:r>
              <w:t>Show GDL and SAM on maps.</w:t>
            </w:r>
          </w:p>
        </w:tc>
        <w:tc>
          <w:tcPr>
            <w:tcW w:w="1618" w:type="pct"/>
          </w:tcPr>
          <w:p w14:paraId="28D3677C" w14:textId="77777777" w:rsidR="00B32D8A" w:rsidRDefault="00C11361" w:rsidP="00C11361">
            <w:pPr>
              <w:pStyle w:val="FLSBody"/>
            </w:pPr>
            <w:r>
              <w:t>Maps include designated heritage assets (C.2.10).</w:t>
            </w:r>
          </w:p>
        </w:tc>
      </w:tr>
      <w:tr w:rsidR="00B32D8A" w14:paraId="7A50976F" w14:textId="77777777" w:rsidTr="00242A1B">
        <w:tc>
          <w:tcPr>
            <w:tcW w:w="783" w:type="pct"/>
          </w:tcPr>
          <w:p w14:paraId="19EC0B87" w14:textId="77777777" w:rsidR="00B32D8A" w:rsidRDefault="00C11361" w:rsidP="00C11361">
            <w:pPr>
              <w:pStyle w:val="FLSBody"/>
            </w:pPr>
            <w:r>
              <w:t>No replanting in SAM buffer</w:t>
            </w:r>
          </w:p>
        </w:tc>
        <w:tc>
          <w:tcPr>
            <w:tcW w:w="735" w:type="pct"/>
          </w:tcPr>
          <w:p w14:paraId="0F82F970" w14:textId="77777777" w:rsidR="00B32D8A" w:rsidRDefault="00C11361" w:rsidP="00C11361">
            <w:pPr>
              <w:pStyle w:val="FLSBody"/>
            </w:pPr>
            <w:r>
              <w:t>HES</w:t>
            </w:r>
          </w:p>
        </w:tc>
        <w:tc>
          <w:tcPr>
            <w:tcW w:w="1864" w:type="pct"/>
          </w:tcPr>
          <w:p w14:paraId="2EA7E46D" w14:textId="77777777" w:rsidR="00B32D8A" w:rsidRDefault="00C11361" w:rsidP="00C11361">
            <w:pPr>
              <w:pStyle w:val="FLSBody"/>
            </w:pPr>
            <w:r>
              <w:t>No planting within SAM or 20m buffer.</w:t>
            </w:r>
          </w:p>
        </w:tc>
        <w:tc>
          <w:tcPr>
            <w:tcW w:w="1618" w:type="pct"/>
          </w:tcPr>
          <w:p w14:paraId="79F2FFE9" w14:textId="77777777" w:rsidR="00B32D8A" w:rsidRDefault="00C11361" w:rsidP="00C11361">
            <w:pPr>
              <w:pStyle w:val="FLSBody"/>
            </w:pPr>
            <w:r>
              <w:t>LMP C.2.10: buffer kept open; regeneration cleared regularly.</w:t>
            </w:r>
          </w:p>
        </w:tc>
      </w:tr>
      <w:tr w:rsidR="00B32D8A" w14:paraId="03607AAF" w14:textId="77777777" w:rsidTr="00242A1B">
        <w:tc>
          <w:tcPr>
            <w:tcW w:w="783" w:type="pct"/>
          </w:tcPr>
          <w:p w14:paraId="00CE7F07" w14:textId="77777777" w:rsidR="00B32D8A" w:rsidRDefault="00C11361" w:rsidP="00C11361">
            <w:pPr>
              <w:pStyle w:val="FLSBody"/>
            </w:pPr>
            <w:r>
              <w:t>Maintain SAM access</w:t>
            </w:r>
          </w:p>
        </w:tc>
        <w:tc>
          <w:tcPr>
            <w:tcW w:w="735" w:type="pct"/>
          </w:tcPr>
          <w:p w14:paraId="0CEBF335" w14:textId="77777777" w:rsidR="00B32D8A" w:rsidRDefault="00C11361" w:rsidP="00C11361">
            <w:pPr>
              <w:pStyle w:val="FLSBody"/>
            </w:pPr>
            <w:r>
              <w:t>HES</w:t>
            </w:r>
          </w:p>
        </w:tc>
        <w:tc>
          <w:tcPr>
            <w:tcW w:w="1864" w:type="pct"/>
          </w:tcPr>
          <w:p w14:paraId="52DDEC8E" w14:textId="77777777" w:rsidR="00B32D8A" w:rsidRDefault="00C11361" w:rsidP="00C11361">
            <w:pPr>
              <w:pStyle w:val="FLSBody"/>
            </w:pPr>
            <w:r>
              <w:t>Provide access per UKFS.</w:t>
            </w:r>
          </w:p>
        </w:tc>
        <w:tc>
          <w:tcPr>
            <w:tcW w:w="1618" w:type="pct"/>
          </w:tcPr>
          <w:p w14:paraId="26C8E0B0" w14:textId="77777777" w:rsidR="00B32D8A" w:rsidRDefault="00C11361" w:rsidP="00C11361">
            <w:pPr>
              <w:pStyle w:val="FLSBody"/>
            </w:pPr>
            <w:r>
              <w:t>Access protected and maintained (C.2.10).</w:t>
            </w:r>
          </w:p>
        </w:tc>
      </w:tr>
      <w:tr w:rsidR="00B32D8A" w14:paraId="1D340011" w14:textId="77777777" w:rsidTr="00242A1B">
        <w:tc>
          <w:tcPr>
            <w:tcW w:w="783" w:type="pct"/>
          </w:tcPr>
          <w:p w14:paraId="274F4EA3" w14:textId="77777777" w:rsidR="00B32D8A" w:rsidRDefault="00C11361" w:rsidP="00C11361">
            <w:pPr>
              <w:pStyle w:val="FLSBody"/>
            </w:pPr>
            <w:r>
              <w:lastRenderedPageBreak/>
              <w:t>Monitor regeneration</w:t>
            </w:r>
          </w:p>
        </w:tc>
        <w:tc>
          <w:tcPr>
            <w:tcW w:w="735" w:type="pct"/>
          </w:tcPr>
          <w:p w14:paraId="28888C7F" w14:textId="77777777" w:rsidR="00B32D8A" w:rsidRDefault="00C11361" w:rsidP="00C11361">
            <w:pPr>
              <w:pStyle w:val="FLSBody"/>
            </w:pPr>
            <w:r>
              <w:t>HES</w:t>
            </w:r>
          </w:p>
        </w:tc>
        <w:tc>
          <w:tcPr>
            <w:tcW w:w="1864" w:type="pct"/>
          </w:tcPr>
          <w:p w14:paraId="1982B057" w14:textId="77777777" w:rsidR="00B32D8A" w:rsidRDefault="00C11361" w:rsidP="00C11361">
            <w:pPr>
              <w:pStyle w:val="FLSBody"/>
            </w:pPr>
            <w:r>
              <w:t>Regular monitoring requested.</w:t>
            </w:r>
          </w:p>
        </w:tc>
        <w:tc>
          <w:tcPr>
            <w:tcW w:w="1618" w:type="pct"/>
          </w:tcPr>
          <w:p w14:paraId="45B3C908" w14:textId="77777777" w:rsidR="00B32D8A" w:rsidRDefault="00C11361" w:rsidP="00C11361">
            <w:pPr>
              <w:pStyle w:val="FLSBody"/>
            </w:pPr>
            <w:r>
              <w:t>LMP C.2.10 includes scheduled monitoring and repeated clearance.</w:t>
            </w:r>
          </w:p>
        </w:tc>
      </w:tr>
      <w:tr w:rsidR="00B32D8A" w14:paraId="626B62CC" w14:textId="77777777" w:rsidTr="00242A1B">
        <w:tc>
          <w:tcPr>
            <w:tcW w:w="783" w:type="pct"/>
          </w:tcPr>
          <w:p w14:paraId="6EF33C94" w14:textId="77777777" w:rsidR="00B32D8A" w:rsidRDefault="00C11361" w:rsidP="00C11361">
            <w:pPr>
              <w:pStyle w:val="FLSBody"/>
            </w:pPr>
            <w:r>
              <w:t>Include SM numbers</w:t>
            </w:r>
          </w:p>
        </w:tc>
        <w:tc>
          <w:tcPr>
            <w:tcW w:w="735" w:type="pct"/>
          </w:tcPr>
          <w:p w14:paraId="0467E0A5" w14:textId="77777777" w:rsidR="00B32D8A" w:rsidRDefault="00C11361" w:rsidP="00C11361">
            <w:pPr>
              <w:pStyle w:val="FLSBody"/>
            </w:pPr>
            <w:r>
              <w:t>HES</w:t>
            </w:r>
          </w:p>
        </w:tc>
        <w:tc>
          <w:tcPr>
            <w:tcW w:w="1864" w:type="pct"/>
          </w:tcPr>
          <w:p w14:paraId="2021DC8E" w14:textId="77777777" w:rsidR="00B32D8A" w:rsidRDefault="00C11361" w:rsidP="00C11361">
            <w:pPr>
              <w:pStyle w:val="FLSBody"/>
            </w:pPr>
            <w:r>
              <w:t>Add SM identifiers.</w:t>
            </w:r>
          </w:p>
        </w:tc>
        <w:tc>
          <w:tcPr>
            <w:tcW w:w="1618" w:type="pct"/>
          </w:tcPr>
          <w:p w14:paraId="4E16F96B" w14:textId="77777777" w:rsidR="00B32D8A" w:rsidRDefault="00C11361" w:rsidP="00C11361">
            <w:pPr>
              <w:pStyle w:val="FLSBody"/>
            </w:pPr>
            <w:r>
              <w:t>LMP references SM 6119 for Deuchny Hillfort.</w:t>
            </w:r>
          </w:p>
        </w:tc>
      </w:tr>
      <w:tr w:rsidR="00B32D8A" w14:paraId="7DF87EA6" w14:textId="77777777" w:rsidTr="00242A1B">
        <w:tc>
          <w:tcPr>
            <w:tcW w:w="783" w:type="pct"/>
          </w:tcPr>
          <w:p w14:paraId="4CBA1FA6" w14:textId="77777777" w:rsidR="00B32D8A" w:rsidRDefault="00C11361" w:rsidP="00C11361">
            <w:pPr>
              <w:pStyle w:val="FLSBody"/>
            </w:pPr>
            <w:r>
              <w:t>Trail maintenance</w:t>
            </w:r>
          </w:p>
        </w:tc>
        <w:tc>
          <w:tcPr>
            <w:tcW w:w="735" w:type="pct"/>
          </w:tcPr>
          <w:p w14:paraId="1B5D0098" w14:textId="77777777" w:rsidR="00B32D8A" w:rsidRDefault="00C11361" w:rsidP="00C11361">
            <w:pPr>
              <w:pStyle w:val="FLSBody"/>
            </w:pPr>
            <w:r>
              <w:t>Public</w:t>
            </w:r>
          </w:p>
        </w:tc>
        <w:tc>
          <w:tcPr>
            <w:tcW w:w="1864" w:type="pct"/>
          </w:tcPr>
          <w:p w14:paraId="59EC802A" w14:textId="77777777" w:rsidR="00B32D8A" w:rsidRDefault="00C11361" w:rsidP="00C11361">
            <w:pPr>
              <w:pStyle w:val="FLSBody"/>
            </w:pPr>
            <w:r>
              <w:t>Maintain trails and clear windblow.</w:t>
            </w:r>
          </w:p>
        </w:tc>
        <w:tc>
          <w:tcPr>
            <w:tcW w:w="1618" w:type="pct"/>
          </w:tcPr>
          <w:p w14:paraId="60FDA6E5" w14:textId="77777777" w:rsidR="00B32D8A" w:rsidRDefault="00C11361" w:rsidP="00C11361">
            <w:pPr>
              <w:pStyle w:val="FLSBody"/>
            </w:pPr>
            <w:r>
              <w:t>LMP C.2.9: recreational infrastructure maintained; windblow addressed in operations.</w:t>
            </w:r>
          </w:p>
        </w:tc>
      </w:tr>
      <w:tr w:rsidR="00B32D8A" w14:paraId="79F7CB98" w14:textId="77777777" w:rsidTr="00242A1B">
        <w:tc>
          <w:tcPr>
            <w:tcW w:w="783" w:type="pct"/>
          </w:tcPr>
          <w:p w14:paraId="411F8FE1" w14:textId="77777777" w:rsidR="00B32D8A" w:rsidRDefault="00C11361" w:rsidP="00C11361">
            <w:pPr>
              <w:pStyle w:val="FLSBody"/>
            </w:pPr>
            <w:r>
              <w:t>Pond maintenance</w:t>
            </w:r>
          </w:p>
        </w:tc>
        <w:tc>
          <w:tcPr>
            <w:tcW w:w="735" w:type="pct"/>
          </w:tcPr>
          <w:p w14:paraId="72DF8207" w14:textId="77777777" w:rsidR="00B32D8A" w:rsidRDefault="00C11361" w:rsidP="00C11361">
            <w:pPr>
              <w:pStyle w:val="FLSBody"/>
            </w:pPr>
            <w:r>
              <w:t>Public</w:t>
            </w:r>
          </w:p>
        </w:tc>
        <w:tc>
          <w:tcPr>
            <w:tcW w:w="1864" w:type="pct"/>
          </w:tcPr>
          <w:p w14:paraId="038C37D7" w14:textId="77777777" w:rsidR="00B32D8A" w:rsidRDefault="00C11361" w:rsidP="00C11361">
            <w:pPr>
              <w:pStyle w:val="FLSBody"/>
            </w:pPr>
            <w:r>
              <w:t>Maintain pond.</w:t>
            </w:r>
          </w:p>
        </w:tc>
        <w:tc>
          <w:tcPr>
            <w:tcW w:w="1618" w:type="pct"/>
          </w:tcPr>
          <w:p w14:paraId="3546D8CC" w14:textId="77777777" w:rsidR="00B32D8A" w:rsidRDefault="00C11361" w:rsidP="00C11361">
            <w:pPr>
              <w:pStyle w:val="FLSBody"/>
            </w:pPr>
            <w:r>
              <w:t>Hydrological protections in C.2.15 support pond stability; site-specific maintenance redirected to VS team.</w:t>
            </w:r>
          </w:p>
        </w:tc>
      </w:tr>
      <w:tr w:rsidR="00B32D8A" w14:paraId="0EE3D0A8" w14:textId="77777777" w:rsidTr="00242A1B">
        <w:tc>
          <w:tcPr>
            <w:tcW w:w="783" w:type="pct"/>
          </w:tcPr>
          <w:p w14:paraId="324A7CFB" w14:textId="77777777" w:rsidR="00B32D8A" w:rsidRDefault="00C11361" w:rsidP="00C11361">
            <w:pPr>
              <w:pStyle w:val="FLSBody"/>
            </w:pPr>
            <w:r>
              <w:t>Additional parking</w:t>
            </w:r>
          </w:p>
        </w:tc>
        <w:tc>
          <w:tcPr>
            <w:tcW w:w="735" w:type="pct"/>
          </w:tcPr>
          <w:p w14:paraId="6EA97F46" w14:textId="77777777" w:rsidR="00B32D8A" w:rsidRDefault="00C11361" w:rsidP="00C11361">
            <w:pPr>
              <w:pStyle w:val="FLSBody"/>
            </w:pPr>
            <w:r>
              <w:t>Public</w:t>
            </w:r>
          </w:p>
        </w:tc>
        <w:tc>
          <w:tcPr>
            <w:tcW w:w="1864" w:type="pct"/>
          </w:tcPr>
          <w:p w14:paraId="77849551" w14:textId="77777777" w:rsidR="00B32D8A" w:rsidRDefault="00C11361" w:rsidP="00C11361">
            <w:pPr>
              <w:pStyle w:val="FLSBody"/>
            </w:pPr>
            <w:r>
              <w:t>Request for more parking.</w:t>
            </w:r>
          </w:p>
        </w:tc>
        <w:tc>
          <w:tcPr>
            <w:tcW w:w="1618" w:type="pct"/>
          </w:tcPr>
          <w:p w14:paraId="34612C0D" w14:textId="77777777" w:rsidR="00B32D8A" w:rsidRDefault="00C11361" w:rsidP="00C11361">
            <w:pPr>
              <w:pStyle w:val="FLSBody"/>
            </w:pPr>
            <w:r>
              <w:t>LMP maintains existing parking; expansion considered if feasible (C.2.9).</w:t>
            </w:r>
          </w:p>
        </w:tc>
      </w:tr>
      <w:tr w:rsidR="00B32D8A" w14:paraId="5A8A9C36" w14:textId="77777777" w:rsidTr="00242A1B">
        <w:tc>
          <w:tcPr>
            <w:tcW w:w="783" w:type="pct"/>
          </w:tcPr>
          <w:p w14:paraId="54C88004" w14:textId="77777777" w:rsidR="00B32D8A" w:rsidRDefault="00C11361" w:rsidP="00C11361">
            <w:pPr>
              <w:pStyle w:val="FLSBody"/>
            </w:pPr>
            <w:r>
              <w:t>Retain windblow</w:t>
            </w:r>
          </w:p>
        </w:tc>
        <w:tc>
          <w:tcPr>
            <w:tcW w:w="735" w:type="pct"/>
          </w:tcPr>
          <w:p w14:paraId="2AE40221" w14:textId="77777777" w:rsidR="00B32D8A" w:rsidRDefault="00C11361" w:rsidP="00C11361">
            <w:pPr>
              <w:pStyle w:val="FLSBody"/>
            </w:pPr>
            <w:r>
              <w:t>Public</w:t>
            </w:r>
          </w:p>
        </w:tc>
        <w:tc>
          <w:tcPr>
            <w:tcW w:w="1864" w:type="pct"/>
          </w:tcPr>
          <w:p w14:paraId="08327C51" w14:textId="77777777" w:rsidR="00B32D8A" w:rsidRDefault="00C11361" w:rsidP="00C11361">
            <w:pPr>
              <w:pStyle w:val="FLSBody"/>
            </w:pPr>
            <w:r>
              <w:t>Retain some for biodiversity.</w:t>
            </w:r>
          </w:p>
        </w:tc>
        <w:tc>
          <w:tcPr>
            <w:tcW w:w="1618" w:type="pct"/>
          </w:tcPr>
          <w:p w14:paraId="13D7D81D" w14:textId="77777777" w:rsidR="00B32D8A" w:rsidRDefault="00C11361" w:rsidP="00C11361">
            <w:pPr>
              <w:pStyle w:val="FLSBody"/>
            </w:pPr>
            <w:r>
              <w:t xml:space="preserve">Deadwood strategy in C.2.11 retains windblow </w:t>
            </w:r>
            <w:proofErr w:type="gramStart"/>
            <w:r>
              <w:t>where</w:t>
            </w:r>
            <w:proofErr w:type="gramEnd"/>
            <w:r>
              <w:t xml:space="preserve"> safe.</w:t>
            </w:r>
          </w:p>
        </w:tc>
      </w:tr>
      <w:tr w:rsidR="00B32D8A" w14:paraId="3E9ACAB6" w14:textId="77777777" w:rsidTr="00242A1B">
        <w:tc>
          <w:tcPr>
            <w:tcW w:w="783" w:type="pct"/>
          </w:tcPr>
          <w:p w14:paraId="1297AEFE" w14:textId="77777777" w:rsidR="00B32D8A" w:rsidRDefault="00C11361" w:rsidP="00C11361">
            <w:pPr>
              <w:pStyle w:val="FLSBody"/>
            </w:pPr>
            <w:r>
              <w:t>Improve access to Hillfort</w:t>
            </w:r>
          </w:p>
        </w:tc>
        <w:tc>
          <w:tcPr>
            <w:tcW w:w="735" w:type="pct"/>
          </w:tcPr>
          <w:p w14:paraId="602104E9" w14:textId="77777777" w:rsidR="00B32D8A" w:rsidRDefault="00C11361" w:rsidP="00C11361">
            <w:pPr>
              <w:pStyle w:val="FLSBody"/>
            </w:pPr>
            <w:r>
              <w:t>Public</w:t>
            </w:r>
          </w:p>
        </w:tc>
        <w:tc>
          <w:tcPr>
            <w:tcW w:w="1864" w:type="pct"/>
          </w:tcPr>
          <w:p w14:paraId="6DC65926" w14:textId="77777777" w:rsidR="00B32D8A" w:rsidRDefault="00C11361" w:rsidP="00C11361">
            <w:pPr>
              <w:pStyle w:val="FLSBody"/>
            </w:pPr>
            <w:r>
              <w:t>Clear path to Hillfort.</w:t>
            </w:r>
          </w:p>
        </w:tc>
        <w:tc>
          <w:tcPr>
            <w:tcW w:w="1618" w:type="pct"/>
          </w:tcPr>
          <w:p w14:paraId="6D570655" w14:textId="77777777" w:rsidR="00B32D8A" w:rsidRDefault="00C11361" w:rsidP="00C11361">
            <w:pPr>
              <w:pStyle w:val="FLSBody"/>
            </w:pPr>
            <w:r>
              <w:t>Access maintained under C.2.10 heritage management.</w:t>
            </w:r>
          </w:p>
        </w:tc>
      </w:tr>
      <w:tr w:rsidR="00B32D8A" w14:paraId="0EC0F33C" w14:textId="77777777" w:rsidTr="00242A1B">
        <w:tc>
          <w:tcPr>
            <w:tcW w:w="783" w:type="pct"/>
          </w:tcPr>
          <w:p w14:paraId="535F8E3E" w14:textId="77777777" w:rsidR="00B32D8A" w:rsidRDefault="00C11361" w:rsidP="00C11361">
            <w:pPr>
              <w:pStyle w:val="FLSBody"/>
            </w:pPr>
            <w:r>
              <w:t>Positive wildlife/recreation feedback</w:t>
            </w:r>
          </w:p>
        </w:tc>
        <w:tc>
          <w:tcPr>
            <w:tcW w:w="735" w:type="pct"/>
          </w:tcPr>
          <w:p w14:paraId="13E0D078" w14:textId="77777777" w:rsidR="00B32D8A" w:rsidRDefault="00C11361" w:rsidP="00C11361">
            <w:pPr>
              <w:pStyle w:val="FLSBody"/>
            </w:pPr>
            <w:r>
              <w:t>Public</w:t>
            </w:r>
          </w:p>
        </w:tc>
        <w:tc>
          <w:tcPr>
            <w:tcW w:w="1864" w:type="pct"/>
          </w:tcPr>
          <w:p w14:paraId="32AA4D4F" w14:textId="77777777" w:rsidR="00B32D8A" w:rsidRDefault="00C11361" w:rsidP="00C11361">
            <w:pPr>
              <w:pStyle w:val="FLSBody"/>
            </w:pPr>
            <w:proofErr w:type="gramStart"/>
            <w:r>
              <w:t>General</w:t>
            </w:r>
            <w:proofErr w:type="gramEnd"/>
            <w:r>
              <w:t xml:space="preserve"> positive comments.</w:t>
            </w:r>
          </w:p>
        </w:tc>
        <w:tc>
          <w:tcPr>
            <w:tcW w:w="1618" w:type="pct"/>
          </w:tcPr>
          <w:p w14:paraId="4A648EA4" w14:textId="77777777" w:rsidR="00B32D8A" w:rsidRDefault="00C11361" w:rsidP="00C11361">
            <w:pPr>
              <w:pStyle w:val="FLSBody"/>
            </w:pPr>
            <w:r>
              <w:t>LMP A.5 &amp; C.2.11 maintain biodiversity and recreational quality.</w:t>
            </w:r>
          </w:p>
        </w:tc>
      </w:tr>
      <w:tr w:rsidR="00242A1B" w14:paraId="005BB5BA" w14:textId="77777777" w:rsidTr="00242A1B">
        <w:tc>
          <w:tcPr>
            <w:tcW w:w="783" w:type="pct"/>
          </w:tcPr>
          <w:p w14:paraId="66DA21AC" w14:textId="5636E9E9" w:rsidR="00242A1B" w:rsidRDefault="00242A1B" w:rsidP="00C11361">
            <w:pPr>
              <w:pStyle w:val="FLSBody"/>
            </w:pPr>
            <w:r>
              <w:t>PWS</w:t>
            </w:r>
          </w:p>
        </w:tc>
        <w:tc>
          <w:tcPr>
            <w:tcW w:w="735" w:type="pct"/>
          </w:tcPr>
          <w:p w14:paraId="594AC09D" w14:textId="3501FF60" w:rsidR="00242A1B" w:rsidRDefault="00242A1B" w:rsidP="00C11361">
            <w:pPr>
              <w:pStyle w:val="FLSBody"/>
            </w:pPr>
            <w:r>
              <w:t>PKC Water</w:t>
            </w:r>
          </w:p>
        </w:tc>
        <w:tc>
          <w:tcPr>
            <w:tcW w:w="1864" w:type="pct"/>
          </w:tcPr>
          <w:p w14:paraId="23CC2DEA" w14:textId="2E0ACBFD" w:rsidR="00242A1B" w:rsidRDefault="00242A1B" w:rsidP="00C11361">
            <w:pPr>
              <w:pStyle w:val="FLSBody"/>
            </w:pPr>
            <w:r>
              <w:t>No issues raised</w:t>
            </w:r>
          </w:p>
        </w:tc>
        <w:tc>
          <w:tcPr>
            <w:tcW w:w="1618" w:type="pct"/>
          </w:tcPr>
          <w:p w14:paraId="6B0A2C8B" w14:textId="0DC57CB3" w:rsidR="00242A1B" w:rsidRDefault="00242A1B" w:rsidP="00C11361">
            <w:pPr>
              <w:pStyle w:val="FLSBody"/>
            </w:pPr>
            <w:r>
              <w:t>No response necessary.</w:t>
            </w:r>
          </w:p>
        </w:tc>
      </w:tr>
    </w:tbl>
    <w:p w14:paraId="2FF38A7F" w14:textId="77777777" w:rsidR="00CE5ED7" w:rsidRDefault="00CE5ED7" w:rsidP="00BB6D22">
      <w:pPr>
        <w:pStyle w:val="FLSBody"/>
        <w:rPr>
          <w:b/>
          <w:bCs/>
        </w:rPr>
      </w:pPr>
    </w:p>
    <w:p w14:paraId="0C762BE1" w14:textId="4A79DC29" w:rsidR="00C11361" w:rsidRPr="00CE5ED7" w:rsidRDefault="00CE5ED7" w:rsidP="00BB6D22">
      <w:pPr>
        <w:pStyle w:val="FLSBody"/>
        <w:rPr>
          <w:i/>
          <w:iCs/>
        </w:rPr>
      </w:pPr>
      <w:r w:rsidRPr="00CE5ED7">
        <w:rPr>
          <w:i/>
          <w:iCs/>
        </w:rPr>
        <w:t>PKC = Perth and Kinross Council</w:t>
      </w:r>
      <w:r>
        <w:rPr>
          <w:i/>
          <w:iCs/>
        </w:rPr>
        <w:tab/>
      </w:r>
      <w:r>
        <w:rPr>
          <w:i/>
          <w:iCs/>
        </w:rPr>
        <w:tab/>
      </w:r>
      <w:r>
        <w:rPr>
          <w:i/>
          <w:iCs/>
        </w:rPr>
        <w:tab/>
        <w:t>SAC = Special Area of Conservation</w:t>
      </w:r>
    </w:p>
    <w:p w14:paraId="197488F0" w14:textId="2307A89B" w:rsidR="00CE5ED7" w:rsidRPr="00CE5ED7" w:rsidRDefault="00CE5ED7" w:rsidP="00BB6D22">
      <w:pPr>
        <w:pStyle w:val="FLSBody"/>
        <w:rPr>
          <w:i/>
          <w:iCs/>
        </w:rPr>
      </w:pPr>
      <w:r w:rsidRPr="00CE5ED7">
        <w:rPr>
          <w:i/>
          <w:iCs/>
        </w:rPr>
        <w:t>HES = Historic Environment Scotland</w:t>
      </w:r>
      <w:r>
        <w:rPr>
          <w:i/>
          <w:iCs/>
        </w:rPr>
        <w:tab/>
      </w:r>
      <w:r>
        <w:rPr>
          <w:i/>
          <w:iCs/>
        </w:rPr>
        <w:tab/>
      </w:r>
      <w:r>
        <w:rPr>
          <w:i/>
          <w:iCs/>
        </w:rPr>
        <w:tab/>
        <w:t>SPA = Special Protection Area</w:t>
      </w:r>
    </w:p>
    <w:p w14:paraId="5E78828A" w14:textId="5034DBAC" w:rsidR="00CE5ED7" w:rsidRDefault="00CE5ED7" w:rsidP="00BB6D22">
      <w:pPr>
        <w:pStyle w:val="FLSBody"/>
        <w:rPr>
          <w:i/>
          <w:iCs/>
        </w:rPr>
      </w:pPr>
      <w:r w:rsidRPr="00CE5ED7">
        <w:rPr>
          <w:i/>
          <w:iCs/>
        </w:rPr>
        <w:t>SEPA = Scottish Environment Protection Agency</w:t>
      </w:r>
      <w:r>
        <w:rPr>
          <w:i/>
          <w:iCs/>
        </w:rPr>
        <w:tab/>
        <w:t>GDL = Garden and Designed Landscape</w:t>
      </w:r>
    </w:p>
    <w:p w14:paraId="7DB62AFB" w14:textId="7705B004" w:rsidR="00C11361" w:rsidRPr="00242A1B" w:rsidRDefault="00CE5ED7" w:rsidP="00242A1B">
      <w:pPr>
        <w:pStyle w:val="FLSBody"/>
        <w:rPr>
          <w:i/>
          <w:iCs/>
        </w:rPr>
      </w:pPr>
      <w:r>
        <w:rPr>
          <w:i/>
          <w:iCs/>
        </w:rPr>
        <w:t>SSSI = Site of Special Scientific Interest</w:t>
      </w:r>
      <w:r>
        <w:rPr>
          <w:i/>
          <w:iCs/>
        </w:rPr>
        <w:tab/>
      </w:r>
      <w:r>
        <w:rPr>
          <w:i/>
          <w:iCs/>
        </w:rPr>
        <w:tab/>
        <w:t>SAM = Scheduled Ancient Monument</w:t>
      </w:r>
    </w:p>
    <w:p w14:paraId="776B38E4" w14:textId="2C7E209E" w:rsidR="00027C27" w:rsidRDefault="00BB6D22" w:rsidP="00BB6D22">
      <w:pPr>
        <w:pStyle w:val="FLSBody"/>
        <w:rPr>
          <w:b/>
          <w:bCs/>
        </w:rPr>
      </w:pPr>
      <w:r>
        <w:rPr>
          <w:b/>
          <w:bCs/>
        </w:rPr>
        <w:lastRenderedPageBreak/>
        <w:t>Public event feedback – Kinnoull Hill Shed, 12/11/25</w:t>
      </w:r>
    </w:p>
    <w:p w14:paraId="67726E5A" w14:textId="77777777" w:rsidR="00BB6D22" w:rsidRDefault="00BB6D22" w:rsidP="00BB6D22">
      <w:pPr>
        <w:pStyle w:val="FLSBody"/>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sultation Record"/>
        <w:tblDescription w:val="This table records the issues raised and FLS response during the consultation process"/>
      </w:tblPr>
      <w:tblGrid>
        <w:gridCol w:w="2184"/>
        <w:gridCol w:w="2050"/>
        <w:gridCol w:w="5200"/>
        <w:gridCol w:w="4514"/>
      </w:tblGrid>
      <w:tr w:rsidR="00BB6D22" w:rsidRPr="006C7A07" w14:paraId="36AB4784" w14:textId="77777777" w:rsidTr="004A0618">
        <w:trPr>
          <w:tblHeader/>
        </w:trPr>
        <w:tc>
          <w:tcPr>
            <w:tcW w:w="783" w:type="pct"/>
            <w:shd w:val="clear" w:color="auto" w:fill="D9D9D9"/>
          </w:tcPr>
          <w:p w14:paraId="2C005647" w14:textId="77777777" w:rsidR="00BB6D22" w:rsidRPr="00C8315C" w:rsidRDefault="00BB6D22" w:rsidP="004A0618">
            <w:pPr>
              <w:pStyle w:val="FLSBody"/>
              <w:rPr>
                <w:b/>
                <w:bCs/>
                <w:lang w:val="en-GB"/>
              </w:rPr>
            </w:pPr>
            <w:bookmarkStart w:id="1" w:name="_Hlk213920937"/>
            <w:r w:rsidRPr="00C8315C">
              <w:rPr>
                <w:b/>
                <w:bCs/>
                <w:lang w:val="en-GB"/>
              </w:rPr>
              <w:t xml:space="preserve">Issue </w:t>
            </w:r>
          </w:p>
        </w:tc>
        <w:tc>
          <w:tcPr>
            <w:tcW w:w="735" w:type="pct"/>
            <w:shd w:val="clear" w:color="auto" w:fill="D9D9D9"/>
          </w:tcPr>
          <w:p w14:paraId="23FAA4A2" w14:textId="77777777" w:rsidR="00BB6D22" w:rsidRPr="00C8315C" w:rsidRDefault="00BB6D22" w:rsidP="004A0618">
            <w:pPr>
              <w:pStyle w:val="FLSBody"/>
              <w:rPr>
                <w:b/>
                <w:bCs/>
                <w:lang w:val="en-GB"/>
              </w:rPr>
            </w:pPr>
            <w:r w:rsidRPr="00C8315C">
              <w:rPr>
                <w:b/>
                <w:bCs/>
                <w:lang w:val="en-GB"/>
              </w:rPr>
              <w:t>Raised by</w:t>
            </w:r>
          </w:p>
        </w:tc>
        <w:tc>
          <w:tcPr>
            <w:tcW w:w="1864" w:type="pct"/>
            <w:shd w:val="clear" w:color="auto" w:fill="D9D9D9"/>
          </w:tcPr>
          <w:p w14:paraId="618A8F3A" w14:textId="77777777" w:rsidR="00BB6D22" w:rsidRPr="00C8315C" w:rsidRDefault="00BB6D22" w:rsidP="004A0618">
            <w:pPr>
              <w:pStyle w:val="FLSBody"/>
              <w:rPr>
                <w:b/>
                <w:bCs/>
                <w:lang w:val="en-GB"/>
              </w:rPr>
            </w:pPr>
            <w:r w:rsidRPr="00C8315C">
              <w:rPr>
                <w:b/>
                <w:bCs/>
                <w:lang w:val="en-GB"/>
              </w:rPr>
              <w:t>Requirement / Recommendation / Concern / Aspiration</w:t>
            </w:r>
          </w:p>
        </w:tc>
        <w:tc>
          <w:tcPr>
            <w:tcW w:w="1618" w:type="pct"/>
            <w:shd w:val="clear" w:color="auto" w:fill="D9D9D9"/>
          </w:tcPr>
          <w:p w14:paraId="1BA57CA3" w14:textId="77777777" w:rsidR="00BB6D22" w:rsidRPr="00C8315C" w:rsidRDefault="00BB6D22" w:rsidP="004A0618">
            <w:pPr>
              <w:pStyle w:val="FLSBody"/>
              <w:rPr>
                <w:b/>
                <w:bCs/>
                <w:lang w:val="en-GB"/>
              </w:rPr>
            </w:pPr>
            <w:r w:rsidRPr="00C8315C">
              <w:rPr>
                <w:b/>
                <w:bCs/>
                <w:lang w:val="en-GB"/>
              </w:rPr>
              <w:t>FLS Response</w:t>
            </w:r>
          </w:p>
        </w:tc>
      </w:tr>
      <w:tr w:rsidR="00BB6D22" w:rsidRPr="00304569" w14:paraId="3EF5E160" w14:textId="77777777" w:rsidTr="004A0618">
        <w:tc>
          <w:tcPr>
            <w:tcW w:w="783" w:type="pct"/>
          </w:tcPr>
          <w:p w14:paraId="63E365AC" w14:textId="77777777" w:rsidR="00BB6D22" w:rsidRPr="00A1133B" w:rsidRDefault="00BB6D22" w:rsidP="004A0618">
            <w:pPr>
              <w:pStyle w:val="FLSBody"/>
              <w:rPr>
                <w:rFonts w:cs="Calibri"/>
                <w:sz w:val="22"/>
                <w:lang w:val="en-GB"/>
              </w:rPr>
            </w:pPr>
            <w:r>
              <w:rPr>
                <w:rFonts w:cs="Calibri"/>
                <w:sz w:val="22"/>
                <w:lang w:val="en-GB"/>
              </w:rPr>
              <w:t>Private Water Supply</w:t>
            </w:r>
          </w:p>
        </w:tc>
        <w:tc>
          <w:tcPr>
            <w:tcW w:w="735" w:type="pct"/>
          </w:tcPr>
          <w:p w14:paraId="25C065B5" w14:textId="77777777" w:rsidR="00BB6D22" w:rsidRPr="00A1133B" w:rsidRDefault="00BB6D22" w:rsidP="004A0618">
            <w:pPr>
              <w:pStyle w:val="FLSBody"/>
              <w:rPr>
                <w:rFonts w:cs="Calibri"/>
                <w:sz w:val="22"/>
                <w:lang w:val="en-GB"/>
              </w:rPr>
            </w:pPr>
            <w:r>
              <w:rPr>
                <w:rFonts w:cs="Calibri"/>
                <w:sz w:val="22"/>
                <w:lang w:val="en-GB"/>
              </w:rPr>
              <w:t>Adjacent Landowner</w:t>
            </w:r>
          </w:p>
        </w:tc>
        <w:tc>
          <w:tcPr>
            <w:tcW w:w="1864" w:type="pct"/>
          </w:tcPr>
          <w:p w14:paraId="610A8BA5" w14:textId="77777777" w:rsidR="00BB6D22" w:rsidRPr="00A1133B" w:rsidRDefault="00BB6D22" w:rsidP="004A0618">
            <w:pPr>
              <w:pStyle w:val="FLSBody"/>
              <w:rPr>
                <w:rFonts w:cs="Calibri"/>
                <w:sz w:val="22"/>
              </w:rPr>
            </w:pPr>
            <w:r>
              <w:rPr>
                <w:rFonts w:cs="Calibri"/>
                <w:sz w:val="22"/>
              </w:rPr>
              <w:t>Neighbouring landowner provided GPS location and images of their Private Water Supply, located within FLS boundaries.</w:t>
            </w:r>
          </w:p>
        </w:tc>
        <w:tc>
          <w:tcPr>
            <w:tcW w:w="1618" w:type="pct"/>
          </w:tcPr>
          <w:p w14:paraId="6C9C304D" w14:textId="77777777" w:rsidR="00BB6D22" w:rsidRPr="00A1133B" w:rsidRDefault="00BB6D22" w:rsidP="004A0618">
            <w:pPr>
              <w:pStyle w:val="FLSBody"/>
              <w:rPr>
                <w:rFonts w:cs="Calibri"/>
                <w:sz w:val="22"/>
                <w:lang w:val="en-GB"/>
              </w:rPr>
            </w:pPr>
            <w:r>
              <w:rPr>
                <w:rFonts w:cs="Calibri"/>
                <w:sz w:val="22"/>
                <w:lang w:val="en-GB"/>
              </w:rPr>
              <w:t>PWS location added to FLS constraints layers and open space buffer applied to future species plan, to be included in LMP revision.</w:t>
            </w:r>
          </w:p>
        </w:tc>
      </w:tr>
      <w:tr w:rsidR="00BB6D22" w:rsidRPr="00304569" w14:paraId="02B7EE6B" w14:textId="77777777" w:rsidTr="004A0618">
        <w:tc>
          <w:tcPr>
            <w:tcW w:w="783" w:type="pct"/>
          </w:tcPr>
          <w:p w14:paraId="79D3ECD3" w14:textId="77777777" w:rsidR="00BB6D22" w:rsidRPr="00A1133B" w:rsidRDefault="00BB6D22" w:rsidP="004A0618">
            <w:pPr>
              <w:pStyle w:val="FLSBody"/>
              <w:rPr>
                <w:rFonts w:cs="Calibri"/>
                <w:sz w:val="22"/>
                <w:lang w:val="en-GB"/>
              </w:rPr>
            </w:pPr>
            <w:r>
              <w:rPr>
                <w:rFonts w:cs="Calibri"/>
                <w:sz w:val="22"/>
                <w:lang w:val="en-GB"/>
              </w:rPr>
              <w:t>Mountain Bike Access</w:t>
            </w:r>
          </w:p>
        </w:tc>
        <w:tc>
          <w:tcPr>
            <w:tcW w:w="735" w:type="pct"/>
          </w:tcPr>
          <w:p w14:paraId="52314965" w14:textId="77777777" w:rsidR="00BB6D22" w:rsidRPr="00A1133B" w:rsidRDefault="00BB6D22" w:rsidP="004A0618">
            <w:pPr>
              <w:pStyle w:val="FLSBody"/>
              <w:rPr>
                <w:rFonts w:cs="Calibri"/>
                <w:sz w:val="22"/>
                <w:lang w:val="en-GB"/>
              </w:rPr>
            </w:pPr>
            <w:r>
              <w:rPr>
                <w:rFonts w:cs="Calibri"/>
                <w:sz w:val="22"/>
                <w:lang w:val="en-GB"/>
              </w:rPr>
              <w:t>Tayside Trail Association</w:t>
            </w:r>
          </w:p>
        </w:tc>
        <w:tc>
          <w:tcPr>
            <w:tcW w:w="1864" w:type="pct"/>
          </w:tcPr>
          <w:p w14:paraId="47D99383" w14:textId="77777777" w:rsidR="00BB6D22" w:rsidRPr="00A1133B" w:rsidRDefault="00BB6D22" w:rsidP="004A0618">
            <w:pPr>
              <w:pStyle w:val="FLSBody"/>
              <w:rPr>
                <w:rFonts w:cs="Calibri"/>
                <w:sz w:val="22"/>
                <w:lang w:val="en-GB"/>
              </w:rPr>
            </w:pPr>
            <w:r>
              <w:rPr>
                <w:rFonts w:cs="Calibri"/>
                <w:sz w:val="22"/>
                <w:lang w:val="en-GB"/>
              </w:rPr>
              <w:t>No requests for change to draft LMP but requested notice of operations in advance to inform members.</w:t>
            </w:r>
          </w:p>
        </w:tc>
        <w:tc>
          <w:tcPr>
            <w:tcW w:w="1618" w:type="pct"/>
          </w:tcPr>
          <w:p w14:paraId="00FCF10B" w14:textId="77777777" w:rsidR="00BB6D22" w:rsidRPr="00A1133B" w:rsidRDefault="00BB6D22" w:rsidP="004A0618">
            <w:pPr>
              <w:pStyle w:val="FLSBody"/>
              <w:rPr>
                <w:rFonts w:cs="Calibri"/>
                <w:sz w:val="22"/>
                <w:lang w:val="en-GB"/>
              </w:rPr>
            </w:pPr>
            <w:r>
              <w:rPr>
                <w:rFonts w:cs="Calibri"/>
                <w:sz w:val="22"/>
                <w:lang w:val="en-GB"/>
              </w:rPr>
              <w:t>TTA work closely with FLS visitor services team and will be informed in advance of any forest operations once they are programmed.</w:t>
            </w:r>
          </w:p>
        </w:tc>
      </w:tr>
      <w:tr w:rsidR="00BB6D22" w:rsidRPr="00304569" w14:paraId="7B6732BD" w14:textId="77777777" w:rsidTr="004A0618">
        <w:tc>
          <w:tcPr>
            <w:tcW w:w="783" w:type="pct"/>
          </w:tcPr>
          <w:p w14:paraId="654233EB" w14:textId="77777777" w:rsidR="00BB6D22" w:rsidRPr="00A1133B" w:rsidRDefault="00BB6D22" w:rsidP="004A0618">
            <w:pPr>
              <w:pStyle w:val="FLSBody"/>
              <w:rPr>
                <w:rFonts w:cs="Calibri"/>
                <w:sz w:val="22"/>
                <w:lang w:val="en-GB"/>
              </w:rPr>
            </w:pPr>
            <w:r>
              <w:rPr>
                <w:rFonts w:cs="Calibri"/>
                <w:sz w:val="22"/>
                <w:lang w:val="en-GB"/>
              </w:rPr>
              <w:t>Public Access</w:t>
            </w:r>
          </w:p>
        </w:tc>
        <w:tc>
          <w:tcPr>
            <w:tcW w:w="735" w:type="pct"/>
          </w:tcPr>
          <w:p w14:paraId="37CEBACA" w14:textId="77777777" w:rsidR="00BB6D22" w:rsidRPr="00A1133B" w:rsidRDefault="00BB6D22" w:rsidP="004A0618">
            <w:pPr>
              <w:pStyle w:val="FLSBody"/>
              <w:rPr>
                <w:rFonts w:cs="Calibri"/>
                <w:sz w:val="22"/>
                <w:lang w:val="en-GB"/>
              </w:rPr>
            </w:pPr>
            <w:r>
              <w:rPr>
                <w:rFonts w:cs="Calibri"/>
                <w:sz w:val="22"/>
                <w:lang w:val="en-GB"/>
              </w:rPr>
              <w:t>Kinnoull Hill Woodland Users Groups</w:t>
            </w:r>
          </w:p>
        </w:tc>
        <w:tc>
          <w:tcPr>
            <w:tcW w:w="1864" w:type="pct"/>
          </w:tcPr>
          <w:p w14:paraId="10E09EA5" w14:textId="77777777" w:rsidR="00BB6D22" w:rsidRPr="00A1133B" w:rsidRDefault="00BB6D22" w:rsidP="004A0618">
            <w:pPr>
              <w:pStyle w:val="FLSBody"/>
              <w:rPr>
                <w:rFonts w:cs="Calibri"/>
                <w:sz w:val="22"/>
                <w:lang w:val="en-GB"/>
              </w:rPr>
            </w:pPr>
            <w:r>
              <w:rPr>
                <w:rFonts w:cs="Calibri"/>
                <w:sz w:val="22"/>
                <w:lang w:val="en-GB"/>
              </w:rPr>
              <w:t>No requests for change to draft plan but had suggestions for additional interpretation to be added in certain areas such as an extra notice board or signage about “leave no trace” attitude.</w:t>
            </w:r>
          </w:p>
        </w:tc>
        <w:tc>
          <w:tcPr>
            <w:tcW w:w="1618" w:type="pct"/>
          </w:tcPr>
          <w:p w14:paraId="1432C974" w14:textId="77777777" w:rsidR="00BB6D22" w:rsidRPr="00A1133B" w:rsidRDefault="00BB6D22" w:rsidP="004A0618">
            <w:pPr>
              <w:pStyle w:val="FLSBody"/>
              <w:rPr>
                <w:rFonts w:cs="Calibri"/>
                <w:sz w:val="22"/>
                <w:lang w:val="en-GB"/>
              </w:rPr>
            </w:pPr>
            <w:r>
              <w:rPr>
                <w:rFonts w:cs="Calibri"/>
                <w:sz w:val="22"/>
                <w:lang w:val="en-GB"/>
              </w:rPr>
              <w:t>Suggestions passed on to FLS visitor services team who were present at event. Not relevant to LMP.</w:t>
            </w:r>
          </w:p>
        </w:tc>
      </w:tr>
      <w:tr w:rsidR="00BB6D22" w:rsidRPr="00304569" w14:paraId="196588E5" w14:textId="77777777" w:rsidTr="004A0618">
        <w:tc>
          <w:tcPr>
            <w:tcW w:w="783" w:type="pct"/>
          </w:tcPr>
          <w:p w14:paraId="4112876D" w14:textId="77777777" w:rsidR="00BB6D22" w:rsidRPr="00A1133B" w:rsidRDefault="00BB6D22" w:rsidP="004A0618">
            <w:pPr>
              <w:pStyle w:val="FLSBody"/>
              <w:rPr>
                <w:rFonts w:cs="Calibri"/>
                <w:sz w:val="22"/>
                <w:lang w:val="en-GB"/>
              </w:rPr>
            </w:pPr>
            <w:r>
              <w:rPr>
                <w:rFonts w:cs="Calibri"/>
                <w:sz w:val="22"/>
                <w:lang w:val="en-GB"/>
              </w:rPr>
              <w:t>Equestrian Access</w:t>
            </w:r>
          </w:p>
        </w:tc>
        <w:tc>
          <w:tcPr>
            <w:tcW w:w="735" w:type="pct"/>
          </w:tcPr>
          <w:p w14:paraId="7EE249B8" w14:textId="77777777" w:rsidR="00BB6D22" w:rsidRPr="00A1133B" w:rsidRDefault="00BB6D22" w:rsidP="004A0618">
            <w:pPr>
              <w:pStyle w:val="FLSBody"/>
              <w:rPr>
                <w:rFonts w:cs="Calibri"/>
                <w:sz w:val="22"/>
                <w:lang w:val="en-GB"/>
              </w:rPr>
            </w:pPr>
            <w:r>
              <w:rPr>
                <w:rFonts w:cs="Calibri"/>
                <w:sz w:val="22"/>
                <w:lang w:val="en-GB"/>
              </w:rPr>
              <w:t>Strathearn Riders</w:t>
            </w:r>
            <w:r w:rsidR="00CA508F">
              <w:rPr>
                <w:rFonts w:cs="Calibri"/>
                <w:sz w:val="22"/>
                <w:lang w:val="en-GB"/>
              </w:rPr>
              <w:t xml:space="preserve"> and Rural Access Group</w:t>
            </w:r>
          </w:p>
        </w:tc>
        <w:tc>
          <w:tcPr>
            <w:tcW w:w="1864" w:type="pct"/>
          </w:tcPr>
          <w:p w14:paraId="4A3311FA" w14:textId="77777777" w:rsidR="00BB6D22" w:rsidRPr="00A1133B" w:rsidRDefault="00CA508F" w:rsidP="004A0618">
            <w:pPr>
              <w:pStyle w:val="FLSBody"/>
              <w:rPr>
                <w:rFonts w:cs="Calibri"/>
                <w:sz w:val="22"/>
                <w:lang w:val="en-GB"/>
              </w:rPr>
            </w:pPr>
            <w:r>
              <w:rPr>
                <w:rFonts w:cs="Calibri"/>
                <w:sz w:val="22"/>
                <w:lang w:val="en-GB"/>
              </w:rPr>
              <w:t>Had suggestions to improve interaction between mountain bike and equestrian forest users to reduce conflict in some areas.</w:t>
            </w:r>
          </w:p>
        </w:tc>
        <w:tc>
          <w:tcPr>
            <w:tcW w:w="1618" w:type="pct"/>
          </w:tcPr>
          <w:p w14:paraId="244580A9" w14:textId="77777777" w:rsidR="00BB6D22" w:rsidRPr="00A1133B" w:rsidRDefault="00CA508F" w:rsidP="004A0618">
            <w:pPr>
              <w:pStyle w:val="FLSBody"/>
              <w:rPr>
                <w:rFonts w:cs="Calibri"/>
                <w:sz w:val="22"/>
                <w:lang w:val="en-GB"/>
              </w:rPr>
            </w:pPr>
            <w:r>
              <w:rPr>
                <w:rFonts w:cs="Calibri"/>
                <w:sz w:val="22"/>
                <w:lang w:val="en-GB"/>
              </w:rPr>
              <w:t>Site visits arranged with FLS visitor services team to assess potential problem areas and to pass feedback to Tayside Trail Association. No impact on LMP design.</w:t>
            </w:r>
          </w:p>
        </w:tc>
      </w:tr>
      <w:tr w:rsidR="00BB6D22" w:rsidRPr="00304569" w14:paraId="5CC0A3ED" w14:textId="77777777" w:rsidTr="004A0618">
        <w:tc>
          <w:tcPr>
            <w:tcW w:w="783" w:type="pct"/>
          </w:tcPr>
          <w:p w14:paraId="67418731" w14:textId="77777777" w:rsidR="00BB6D22" w:rsidRPr="00A1133B" w:rsidRDefault="00240231" w:rsidP="004A0618">
            <w:pPr>
              <w:pStyle w:val="FLSBody"/>
              <w:rPr>
                <w:rFonts w:cs="Calibri"/>
                <w:sz w:val="22"/>
                <w:lang w:val="en-GB"/>
              </w:rPr>
            </w:pPr>
            <w:r>
              <w:rPr>
                <w:rFonts w:cs="Calibri"/>
                <w:sz w:val="22"/>
                <w:lang w:val="en-GB"/>
              </w:rPr>
              <w:t>Public Access</w:t>
            </w:r>
          </w:p>
        </w:tc>
        <w:tc>
          <w:tcPr>
            <w:tcW w:w="735" w:type="pct"/>
          </w:tcPr>
          <w:p w14:paraId="57EC4003" w14:textId="77777777" w:rsidR="00BB6D22" w:rsidRPr="00A1133B" w:rsidRDefault="00240231" w:rsidP="004A0618">
            <w:pPr>
              <w:pStyle w:val="FLSBody"/>
              <w:rPr>
                <w:rFonts w:cs="Calibri"/>
                <w:sz w:val="22"/>
                <w:lang w:val="en-GB"/>
              </w:rPr>
            </w:pPr>
            <w:r>
              <w:rPr>
                <w:rFonts w:cs="Calibri"/>
                <w:sz w:val="22"/>
                <w:lang w:val="en-GB"/>
              </w:rPr>
              <w:t>Perth and Kinross Council</w:t>
            </w:r>
          </w:p>
        </w:tc>
        <w:tc>
          <w:tcPr>
            <w:tcW w:w="1864" w:type="pct"/>
          </w:tcPr>
          <w:p w14:paraId="1D608B6F" w14:textId="77777777" w:rsidR="00BB6D22" w:rsidRPr="00A1133B" w:rsidRDefault="00240231" w:rsidP="004A0618">
            <w:pPr>
              <w:pStyle w:val="FLSBody"/>
              <w:rPr>
                <w:rFonts w:cs="Calibri"/>
                <w:sz w:val="22"/>
                <w:lang w:val="en-GB"/>
              </w:rPr>
            </w:pPr>
            <w:r>
              <w:rPr>
                <w:rFonts w:cs="Calibri"/>
                <w:sz w:val="22"/>
                <w:lang w:val="en-GB"/>
              </w:rPr>
              <w:t>PKC ranger in attendance but no issues raised.</w:t>
            </w:r>
          </w:p>
        </w:tc>
        <w:tc>
          <w:tcPr>
            <w:tcW w:w="1618" w:type="pct"/>
          </w:tcPr>
          <w:p w14:paraId="1BD1DAB9" w14:textId="77777777" w:rsidR="00BB6D22" w:rsidRPr="00A1133B" w:rsidRDefault="00240231" w:rsidP="004A0618">
            <w:pPr>
              <w:pStyle w:val="FLSBody"/>
              <w:rPr>
                <w:rFonts w:cs="Calibri"/>
                <w:sz w:val="22"/>
                <w:lang w:val="en-GB"/>
              </w:rPr>
            </w:pPr>
            <w:r>
              <w:rPr>
                <w:rFonts w:cs="Calibri"/>
                <w:sz w:val="22"/>
                <w:lang w:val="en-GB"/>
              </w:rPr>
              <w:t>FLS will continue to work closely with PKC to manage shared Kinnoull Hill Woodland Park area.</w:t>
            </w:r>
          </w:p>
        </w:tc>
      </w:tr>
      <w:tr w:rsidR="00D0459B" w:rsidRPr="00304569" w14:paraId="461FAC78" w14:textId="77777777" w:rsidTr="004A0618">
        <w:tc>
          <w:tcPr>
            <w:tcW w:w="783" w:type="pct"/>
          </w:tcPr>
          <w:p w14:paraId="655DA831" w14:textId="77777777" w:rsidR="00D0459B" w:rsidRDefault="00D0459B" w:rsidP="004A0618">
            <w:pPr>
              <w:pStyle w:val="FLSBody"/>
              <w:rPr>
                <w:rFonts w:cs="Calibri"/>
                <w:sz w:val="22"/>
                <w:lang w:val="en-GB"/>
              </w:rPr>
            </w:pPr>
            <w:r>
              <w:rPr>
                <w:rFonts w:cs="Calibri"/>
                <w:sz w:val="22"/>
                <w:lang w:val="en-GB"/>
              </w:rPr>
              <w:t>Mountain Bike Access</w:t>
            </w:r>
          </w:p>
        </w:tc>
        <w:tc>
          <w:tcPr>
            <w:tcW w:w="735" w:type="pct"/>
          </w:tcPr>
          <w:p w14:paraId="550A4B9F" w14:textId="77777777" w:rsidR="00D0459B" w:rsidRDefault="00D0459B" w:rsidP="004A0618">
            <w:pPr>
              <w:pStyle w:val="FLSBody"/>
              <w:rPr>
                <w:rFonts w:cs="Calibri"/>
                <w:sz w:val="22"/>
                <w:lang w:val="en-GB"/>
              </w:rPr>
            </w:pPr>
            <w:r>
              <w:rPr>
                <w:rFonts w:cs="Calibri"/>
                <w:sz w:val="22"/>
                <w:lang w:val="en-GB"/>
              </w:rPr>
              <w:t>Tay Titans</w:t>
            </w:r>
          </w:p>
        </w:tc>
        <w:tc>
          <w:tcPr>
            <w:tcW w:w="1864" w:type="pct"/>
          </w:tcPr>
          <w:p w14:paraId="0703FB37" w14:textId="77777777" w:rsidR="00D0459B" w:rsidRDefault="00D0459B" w:rsidP="004A0618">
            <w:pPr>
              <w:pStyle w:val="FLSBody"/>
              <w:rPr>
                <w:rFonts w:cs="Calibri"/>
                <w:sz w:val="22"/>
                <w:lang w:val="en-GB"/>
              </w:rPr>
            </w:pPr>
            <w:r>
              <w:rPr>
                <w:rFonts w:cs="Calibri"/>
                <w:sz w:val="22"/>
                <w:lang w:val="en-GB"/>
              </w:rPr>
              <w:t>No specific issues raised, discussion had around potential impacts of felling activities on access for certain areas and timescales involved.</w:t>
            </w:r>
          </w:p>
        </w:tc>
        <w:tc>
          <w:tcPr>
            <w:tcW w:w="1618" w:type="pct"/>
          </w:tcPr>
          <w:p w14:paraId="3EC92866" w14:textId="77777777" w:rsidR="00D0459B" w:rsidRDefault="00D0459B" w:rsidP="004A0618">
            <w:pPr>
              <w:pStyle w:val="FLSBody"/>
              <w:rPr>
                <w:rFonts w:cs="Calibri"/>
                <w:sz w:val="22"/>
                <w:lang w:val="en-GB"/>
              </w:rPr>
            </w:pPr>
            <w:r>
              <w:rPr>
                <w:rFonts w:cs="Calibri"/>
                <w:sz w:val="22"/>
                <w:lang w:val="en-GB"/>
              </w:rPr>
              <w:t>FLS visitor services team have clear lines of communication with this group and will provide details of any forest operations likely to impact their activities in advance.</w:t>
            </w:r>
          </w:p>
        </w:tc>
      </w:tr>
      <w:tr w:rsidR="00BB6D22" w:rsidRPr="00304569" w14:paraId="4736D40B" w14:textId="77777777" w:rsidTr="004A0618">
        <w:tc>
          <w:tcPr>
            <w:tcW w:w="783" w:type="pct"/>
          </w:tcPr>
          <w:p w14:paraId="48284226" w14:textId="77777777" w:rsidR="00BB6D22" w:rsidRPr="00A1133B" w:rsidRDefault="00240231" w:rsidP="004A0618">
            <w:pPr>
              <w:pStyle w:val="FLSBody"/>
              <w:rPr>
                <w:rFonts w:cs="Calibri"/>
                <w:sz w:val="22"/>
                <w:lang w:val="en-GB"/>
              </w:rPr>
            </w:pPr>
            <w:r>
              <w:rPr>
                <w:rFonts w:cs="Calibri"/>
                <w:sz w:val="22"/>
                <w:lang w:val="en-GB"/>
              </w:rPr>
              <w:t>Public Interest</w:t>
            </w:r>
          </w:p>
        </w:tc>
        <w:tc>
          <w:tcPr>
            <w:tcW w:w="735" w:type="pct"/>
          </w:tcPr>
          <w:p w14:paraId="4B7E7B61" w14:textId="77777777" w:rsidR="00BB6D22" w:rsidRPr="00A1133B" w:rsidRDefault="00240231" w:rsidP="004A0618">
            <w:pPr>
              <w:pStyle w:val="FLSBody"/>
              <w:rPr>
                <w:rFonts w:cs="Calibri"/>
                <w:sz w:val="22"/>
                <w:lang w:val="en-GB"/>
              </w:rPr>
            </w:pPr>
            <w:r>
              <w:rPr>
                <w:rFonts w:cs="Calibri"/>
                <w:sz w:val="22"/>
                <w:lang w:val="en-GB"/>
              </w:rPr>
              <w:t>Members of Public</w:t>
            </w:r>
          </w:p>
        </w:tc>
        <w:tc>
          <w:tcPr>
            <w:tcW w:w="1864" w:type="pct"/>
          </w:tcPr>
          <w:p w14:paraId="4E500E55" w14:textId="77777777" w:rsidR="00BB6D22" w:rsidRPr="00A1133B" w:rsidRDefault="00240231" w:rsidP="004A0618">
            <w:pPr>
              <w:pStyle w:val="FLSBody"/>
              <w:rPr>
                <w:rFonts w:cs="Calibri"/>
                <w:sz w:val="22"/>
                <w:lang w:val="en-GB"/>
              </w:rPr>
            </w:pPr>
            <w:r>
              <w:rPr>
                <w:rFonts w:cs="Calibri"/>
                <w:sz w:val="22"/>
                <w:lang w:val="en-GB"/>
              </w:rPr>
              <w:t>Several members of public attended event throughout the day to express interest in new plan and have forest management approach explained. No specific issues raised relevant to LMP.</w:t>
            </w:r>
          </w:p>
        </w:tc>
        <w:tc>
          <w:tcPr>
            <w:tcW w:w="1618" w:type="pct"/>
          </w:tcPr>
          <w:p w14:paraId="7042A167" w14:textId="77777777" w:rsidR="00BB6D22" w:rsidRPr="00A1133B" w:rsidRDefault="00240231" w:rsidP="004A0618">
            <w:pPr>
              <w:pStyle w:val="FLSBody"/>
              <w:rPr>
                <w:rFonts w:cs="Calibri"/>
                <w:sz w:val="22"/>
                <w:lang w:val="en-GB"/>
              </w:rPr>
            </w:pPr>
            <w:r>
              <w:rPr>
                <w:rFonts w:cs="Calibri"/>
                <w:sz w:val="22"/>
                <w:lang w:val="en-GB"/>
              </w:rPr>
              <w:t>Provided more detail on decision making process for areas to be felled, restock species chosen and provision of recreational facilities.</w:t>
            </w:r>
          </w:p>
        </w:tc>
      </w:tr>
      <w:bookmarkEnd w:id="1"/>
    </w:tbl>
    <w:p w14:paraId="1D718BEE" w14:textId="77777777" w:rsidR="00BB6D22" w:rsidRPr="00BB6D22" w:rsidRDefault="00BB6D22" w:rsidP="00BB6D22">
      <w:pPr>
        <w:pStyle w:val="FLSBody"/>
        <w:rPr>
          <w:b/>
          <w:bCs/>
        </w:rPr>
      </w:pPr>
    </w:p>
    <w:sectPr w:rsidR="00BB6D22" w:rsidRPr="00BB6D22" w:rsidSect="00AB0821">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865867077">
    <w:abstractNumId w:val="1"/>
  </w:num>
  <w:num w:numId="2" w16cid:durableId="1448542837">
    <w:abstractNumId w:val="0"/>
  </w:num>
  <w:num w:numId="3" w16cid:durableId="2108697244">
    <w:abstractNumId w:val="0"/>
  </w:num>
  <w:num w:numId="4" w16cid:durableId="1377394288">
    <w:abstractNumId w:val="0"/>
  </w:num>
  <w:num w:numId="5" w16cid:durableId="1348291904">
    <w:abstractNumId w:val="1"/>
  </w:num>
  <w:num w:numId="6" w16cid:durableId="102047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21"/>
    <w:rsid w:val="00021DA4"/>
    <w:rsid w:val="00027C27"/>
    <w:rsid w:val="000532B6"/>
    <w:rsid w:val="000B4367"/>
    <w:rsid w:val="000C0CF4"/>
    <w:rsid w:val="000F7966"/>
    <w:rsid w:val="00136024"/>
    <w:rsid w:val="001C7DF1"/>
    <w:rsid w:val="001E7BA2"/>
    <w:rsid w:val="00240231"/>
    <w:rsid w:val="00242A1B"/>
    <w:rsid w:val="00281579"/>
    <w:rsid w:val="002E191A"/>
    <w:rsid w:val="002E6F48"/>
    <w:rsid w:val="002F0443"/>
    <w:rsid w:val="00306C61"/>
    <w:rsid w:val="00325291"/>
    <w:rsid w:val="0037582B"/>
    <w:rsid w:val="003C45F3"/>
    <w:rsid w:val="004B1EBF"/>
    <w:rsid w:val="00563FC9"/>
    <w:rsid w:val="00567A3D"/>
    <w:rsid w:val="00582A4F"/>
    <w:rsid w:val="00634B92"/>
    <w:rsid w:val="006920D6"/>
    <w:rsid w:val="008218C2"/>
    <w:rsid w:val="00857548"/>
    <w:rsid w:val="00934DBA"/>
    <w:rsid w:val="00941721"/>
    <w:rsid w:val="009B7615"/>
    <w:rsid w:val="00A1133B"/>
    <w:rsid w:val="00A51504"/>
    <w:rsid w:val="00AB0821"/>
    <w:rsid w:val="00B32D8A"/>
    <w:rsid w:val="00B40237"/>
    <w:rsid w:val="00B51BDC"/>
    <w:rsid w:val="00B561C0"/>
    <w:rsid w:val="00B6651C"/>
    <w:rsid w:val="00B773CE"/>
    <w:rsid w:val="00BB6D22"/>
    <w:rsid w:val="00BC5CAF"/>
    <w:rsid w:val="00C11361"/>
    <w:rsid w:val="00C91823"/>
    <w:rsid w:val="00CA508F"/>
    <w:rsid w:val="00CE5ED7"/>
    <w:rsid w:val="00D008AB"/>
    <w:rsid w:val="00D0459B"/>
    <w:rsid w:val="00DB1AD7"/>
    <w:rsid w:val="00E80BB3"/>
    <w:rsid w:val="00ED232B"/>
    <w:rsid w:val="00EF6CCF"/>
    <w:rsid w:val="00F553A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E643"/>
  <w15:chartTrackingRefBased/>
  <w15:docId w15:val="{A0160E24-2658-4655-9CD4-8E596283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21"/>
    <w:pPr>
      <w:spacing w:after="200" w:line="276" w:lineRule="auto"/>
    </w:pPr>
    <w:rPr>
      <w:rFonts w:ascii="Calibri" w:hAnsi="Calibri" w:cs="Times New Roman"/>
      <w:kern w:val="0"/>
      <w:lang w:val="en-US"/>
      <w14:ligatures w14:val="none"/>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hAnsi="Arial"/>
      <w:kern w:val="24"/>
      <w:sz w:val="24"/>
      <w:szCs w:val="20"/>
      <w:lang w:val="en-GB"/>
      <w14:ligatures w14:val="standardContextual"/>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hAnsi="Arial"/>
      <w:kern w:val="24"/>
      <w:sz w:val="24"/>
      <w:szCs w:val="20"/>
      <w:lang w:val="en-GB"/>
      <w14:ligatures w14:val="standardContextual"/>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hAnsi="Arial"/>
      <w:kern w:val="24"/>
      <w:sz w:val="24"/>
      <w:szCs w:val="20"/>
      <w:lang w:val="en-GB"/>
      <w14:ligatures w14:val="standardContextual"/>
    </w:rPr>
  </w:style>
  <w:style w:type="paragraph" w:styleId="Heading4">
    <w:name w:val="heading 4"/>
    <w:basedOn w:val="Normal"/>
    <w:next w:val="Normal"/>
    <w:link w:val="Heading4Char"/>
    <w:uiPriority w:val="9"/>
    <w:semiHidden/>
    <w:qFormat/>
    <w:rsid w:val="00AB0821"/>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4"/>
      <w:szCs w:val="20"/>
      <w:lang w:val="en-GB"/>
      <w14:ligatures w14:val="standardContextual"/>
    </w:rPr>
  </w:style>
  <w:style w:type="paragraph" w:styleId="Heading5">
    <w:name w:val="heading 5"/>
    <w:basedOn w:val="Normal"/>
    <w:next w:val="Normal"/>
    <w:link w:val="Heading5Char"/>
    <w:uiPriority w:val="9"/>
    <w:semiHidden/>
    <w:unhideWhenUsed/>
    <w:qFormat/>
    <w:rsid w:val="00AB0821"/>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0"/>
      <w:lang w:val="en-GB"/>
      <w14:ligatures w14:val="standardContextual"/>
    </w:rPr>
  </w:style>
  <w:style w:type="paragraph" w:styleId="Heading6">
    <w:name w:val="heading 6"/>
    <w:basedOn w:val="Normal"/>
    <w:next w:val="Normal"/>
    <w:link w:val="Heading6Char"/>
    <w:uiPriority w:val="9"/>
    <w:semiHidden/>
    <w:unhideWhenUsed/>
    <w:qFormat/>
    <w:rsid w:val="00AB082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0"/>
      <w:lang w:val="en-GB"/>
      <w14:ligatures w14:val="standardContextual"/>
    </w:rPr>
  </w:style>
  <w:style w:type="paragraph" w:styleId="Heading7">
    <w:name w:val="heading 7"/>
    <w:basedOn w:val="Normal"/>
    <w:next w:val="Normal"/>
    <w:link w:val="Heading7Char"/>
    <w:uiPriority w:val="9"/>
    <w:semiHidden/>
    <w:unhideWhenUsed/>
    <w:qFormat/>
    <w:rsid w:val="00AB082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0"/>
      <w:lang w:val="en-GB"/>
      <w14:ligatures w14:val="standardContextual"/>
    </w:rPr>
  </w:style>
  <w:style w:type="paragraph" w:styleId="Heading8">
    <w:name w:val="heading 8"/>
    <w:basedOn w:val="Normal"/>
    <w:next w:val="Normal"/>
    <w:link w:val="Heading8Char"/>
    <w:uiPriority w:val="9"/>
    <w:semiHidden/>
    <w:unhideWhenUsed/>
    <w:qFormat/>
    <w:rsid w:val="00AB082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0"/>
      <w:lang w:val="en-GB"/>
      <w14:ligatures w14:val="standardContextual"/>
    </w:rPr>
  </w:style>
  <w:style w:type="paragraph" w:styleId="Heading9">
    <w:name w:val="heading 9"/>
    <w:basedOn w:val="Normal"/>
    <w:next w:val="Normal"/>
    <w:link w:val="Heading9Char"/>
    <w:uiPriority w:val="9"/>
    <w:semiHidden/>
    <w:unhideWhenUsed/>
    <w:qFormat/>
    <w:rsid w:val="00AB0821"/>
    <w:pPr>
      <w:keepNext/>
      <w:keepLines/>
      <w:spacing w:after="0" w:line="240" w:lineRule="auto"/>
      <w:outlineLvl w:val="8"/>
    </w:pPr>
    <w:rPr>
      <w:rFonts w:asciiTheme="minorHAnsi" w:eastAsiaTheme="majorEastAsia" w:hAnsiTheme="minorHAnsi" w:cstheme="majorBidi"/>
      <w:color w:val="272727" w:themeColor="text1" w:themeTint="D8"/>
      <w:kern w:val="2"/>
      <w:sz w:val="24"/>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B0821"/>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B0821"/>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B0821"/>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AB0821"/>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AB0821"/>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AB0821"/>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AB082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B0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21"/>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B0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21"/>
    <w:pPr>
      <w:spacing w:before="160" w:after="160" w:line="240" w:lineRule="auto"/>
      <w:jc w:val="center"/>
    </w:pPr>
    <w:rPr>
      <w:rFonts w:ascii="Arial" w:hAnsi="Arial"/>
      <w:i/>
      <w:iCs/>
      <w:color w:val="404040" w:themeColor="text1" w:themeTint="BF"/>
      <w:kern w:val="2"/>
      <w:sz w:val="24"/>
      <w:szCs w:val="20"/>
      <w:lang w:val="en-GB"/>
      <w14:ligatures w14:val="standardContextual"/>
    </w:rPr>
  </w:style>
  <w:style w:type="character" w:customStyle="1" w:styleId="QuoteChar">
    <w:name w:val="Quote Char"/>
    <w:basedOn w:val="DefaultParagraphFont"/>
    <w:link w:val="Quote"/>
    <w:uiPriority w:val="29"/>
    <w:rsid w:val="00AB0821"/>
    <w:rPr>
      <w:rFonts w:ascii="Arial" w:hAnsi="Arial" w:cs="Times New Roman"/>
      <w:i/>
      <w:iCs/>
      <w:color w:val="404040" w:themeColor="text1" w:themeTint="BF"/>
      <w:sz w:val="24"/>
      <w:szCs w:val="20"/>
    </w:rPr>
  </w:style>
  <w:style w:type="paragraph" w:styleId="ListParagraph">
    <w:name w:val="List Paragraph"/>
    <w:basedOn w:val="Normal"/>
    <w:uiPriority w:val="34"/>
    <w:qFormat/>
    <w:rsid w:val="00AB0821"/>
    <w:pPr>
      <w:spacing w:after="0" w:line="240" w:lineRule="auto"/>
      <w:ind w:left="720"/>
      <w:contextualSpacing/>
    </w:pPr>
    <w:rPr>
      <w:rFonts w:ascii="Arial" w:hAnsi="Arial"/>
      <w:kern w:val="2"/>
      <w:sz w:val="24"/>
      <w:szCs w:val="20"/>
      <w:lang w:val="en-GB"/>
      <w14:ligatures w14:val="standardContextual"/>
    </w:rPr>
  </w:style>
  <w:style w:type="character" w:styleId="IntenseEmphasis">
    <w:name w:val="Intense Emphasis"/>
    <w:basedOn w:val="DefaultParagraphFont"/>
    <w:uiPriority w:val="21"/>
    <w:qFormat/>
    <w:rsid w:val="00AB0821"/>
    <w:rPr>
      <w:i/>
      <w:iCs/>
      <w:color w:val="2E74B5" w:themeColor="accent1" w:themeShade="BF"/>
    </w:rPr>
  </w:style>
  <w:style w:type="paragraph" w:styleId="IntenseQuote">
    <w:name w:val="Intense Quote"/>
    <w:basedOn w:val="Normal"/>
    <w:next w:val="Normal"/>
    <w:link w:val="IntenseQuoteChar"/>
    <w:uiPriority w:val="30"/>
    <w:qFormat/>
    <w:rsid w:val="00AB0821"/>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hAnsi="Arial"/>
      <w:i/>
      <w:iCs/>
      <w:color w:val="2E74B5" w:themeColor="accent1" w:themeShade="BF"/>
      <w:kern w:val="2"/>
      <w:sz w:val="24"/>
      <w:szCs w:val="20"/>
      <w:lang w:val="en-GB"/>
      <w14:ligatures w14:val="standardContextual"/>
    </w:rPr>
  </w:style>
  <w:style w:type="character" w:customStyle="1" w:styleId="IntenseQuoteChar">
    <w:name w:val="Intense Quote Char"/>
    <w:basedOn w:val="DefaultParagraphFont"/>
    <w:link w:val="IntenseQuote"/>
    <w:uiPriority w:val="30"/>
    <w:rsid w:val="00AB0821"/>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AB0821"/>
    <w:rPr>
      <w:b/>
      <w:bCs/>
      <w:smallCaps/>
      <w:color w:val="2E74B5" w:themeColor="accent1" w:themeShade="BF"/>
      <w:spacing w:val="5"/>
    </w:rPr>
  </w:style>
  <w:style w:type="paragraph" w:customStyle="1" w:styleId="FLSHeading3Bold">
    <w:name w:val="FLS Heading 3 Bold"/>
    <w:autoRedefine/>
    <w:qFormat/>
    <w:rsid w:val="00AB0821"/>
    <w:pPr>
      <w:spacing w:after="160"/>
      <w:contextualSpacing/>
    </w:pPr>
    <w:rPr>
      <w:rFonts w:ascii="Calibri" w:hAnsi="Calibri" w:cs="Times New Roman"/>
      <w:b/>
      <w:bCs/>
      <w:color w:val="48A23F"/>
      <w:kern w:val="0"/>
      <w:sz w:val="36"/>
      <w:lang w:val="en-US"/>
      <w14:ligatures w14:val="none"/>
    </w:rPr>
  </w:style>
  <w:style w:type="paragraph" w:customStyle="1" w:styleId="FLSBody">
    <w:name w:val="FLS Body"/>
    <w:qFormat/>
    <w:rsid w:val="00AB0821"/>
    <w:pPr>
      <w:spacing w:after="120"/>
      <w:contextualSpacing/>
    </w:pPr>
    <w:rPr>
      <w:rFonts w:ascii="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901</Words>
  <Characters>5481</Characters>
  <Application>Microsoft Office Word</Application>
  <DocSecurity>0</DocSecurity>
  <Lines>249</Lines>
  <Paragraphs>167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Stewart</dc:creator>
  <cp:keywords/>
  <dc:description/>
  <cp:lastModifiedBy>Euan Stewart</cp:lastModifiedBy>
  <cp:revision>7</cp:revision>
  <dcterms:created xsi:type="dcterms:W3CDTF">2025-11-26T14:14:00Z</dcterms:created>
  <dcterms:modified xsi:type="dcterms:W3CDTF">2026-01-06T08:49:00Z</dcterms:modified>
</cp:coreProperties>
</file>