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508A" w14:textId="32F3F075" w:rsidR="00103FCF" w:rsidRPr="00FC794A" w:rsidRDefault="00525022" w:rsidP="003D2126">
      <w:pPr>
        <w:pStyle w:val="FLSHeading2"/>
        <w:jc w:val="center"/>
      </w:pPr>
      <w:proofErr w:type="spellStart"/>
      <w:r>
        <w:t>Midmar</w:t>
      </w:r>
      <w:proofErr w:type="spellEnd"/>
      <w:r w:rsidR="00820119" w:rsidRPr="00FC794A">
        <w:t xml:space="preserve"> Land Management Plan Review</w:t>
      </w:r>
    </w:p>
    <w:p w14:paraId="2A29A63F" w14:textId="60151014" w:rsidR="00820119" w:rsidRDefault="00820119" w:rsidP="003D2126">
      <w:pPr>
        <w:pStyle w:val="FLSCoverBody"/>
      </w:pPr>
      <w:r>
        <w:t>Initial</w:t>
      </w:r>
      <w:r w:rsidRPr="00820119">
        <w:t xml:space="preserve"> </w:t>
      </w:r>
      <w:r w:rsidRPr="003D2126">
        <w:t>Statutory</w:t>
      </w:r>
      <w:r w:rsidRPr="00820119">
        <w:t xml:space="preserve"> and Public Consultation</w:t>
      </w:r>
    </w:p>
    <w:p w14:paraId="1E3734CD" w14:textId="36AB6EE3" w:rsidR="00F00133" w:rsidRDefault="00525022" w:rsidP="00F00133">
      <w:pPr>
        <w:pStyle w:val="FLSHeading4"/>
        <w:rPr>
          <w:lang w:val="en-GB"/>
        </w:rPr>
      </w:pPr>
      <w:r>
        <w:rPr>
          <w:lang w:val="en-GB"/>
        </w:rPr>
        <w:t>June</w:t>
      </w:r>
      <w:r w:rsidR="00820119">
        <w:rPr>
          <w:lang w:val="en-GB"/>
        </w:rPr>
        <w:t xml:space="preserve"> 2024</w:t>
      </w:r>
    </w:p>
    <w:p w14:paraId="0CE03D9D" w14:textId="77777777" w:rsidR="00F00133" w:rsidRDefault="00F00133" w:rsidP="00F00133">
      <w:pPr>
        <w:pStyle w:val="FLSHeading4"/>
      </w:pPr>
    </w:p>
    <w:p w14:paraId="0ABBAD48" w14:textId="77777777" w:rsidR="002211E4" w:rsidRPr="00177C94" w:rsidRDefault="002211E4" w:rsidP="00177C94">
      <w:pPr>
        <w:pStyle w:val="FLSHeading3"/>
      </w:pPr>
      <w:r w:rsidRPr="00177C94">
        <w:t>Key Features</w:t>
      </w:r>
    </w:p>
    <w:p w14:paraId="37A21827" w14:textId="020027BA" w:rsidR="00AE5DCE" w:rsidRDefault="00AE5DCE" w:rsidP="00AE5DCE">
      <w:pPr>
        <w:pStyle w:val="FLSBody"/>
      </w:pPr>
      <w:r w:rsidRPr="00AE5DCE">
        <w:rPr>
          <w:b/>
          <w:bCs/>
        </w:rPr>
        <w:t>Timber production</w:t>
      </w:r>
      <w:r w:rsidRPr="00AE5DCE">
        <w:t xml:space="preserve"> will likely stay a key focus in this area. We’ll need to restructure older forest blocks and keep adding new broadleaf and conifer woodland.</w:t>
      </w:r>
      <w:r w:rsidR="00525022">
        <w:t xml:space="preserve"> As there’s been a lot of </w:t>
      </w:r>
      <w:proofErr w:type="gramStart"/>
      <w:r w:rsidR="00525022">
        <w:t>felling</w:t>
      </w:r>
      <w:proofErr w:type="gramEnd"/>
      <w:r w:rsidR="00525022">
        <w:t xml:space="preserve"> in this area recently to clear up after Storm Arwen, we’ll mostly be focusing on restocking felled areas in this plan period and thinning out younger crops to improve the timber quality in the future.</w:t>
      </w:r>
    </w:p>
    <w:p w14:paraId="5205AC62" w14:textId="1EBB23AA" w:rsidR="0084233C" w:rsidRPr="00AE5DCE" w:rsidRDefault="0084233C" w:rsidP="00AE5DCE">
      <w:pPr>
        <w:pStyle w:val="FLSBody"/>
      </w:pPr>
      <w:r w:rsidRPr="0084233C">
        <w:rPr>
          <w:b/>
          <w:bCs/>
        </w:rPr>
        <w:t>Broadleaf</w:t>
      </w:r>
      <w:r>
        <w:t xml:space="preserve"> species only make up 3% of the total tree cover in this forest, well aim to raise this to at least 5% within the next ten years.</w:t>
      </w:r>
    </w:p>
    <w:p w14:paraId="78606A7C" w14:textId="70D666BB" w:rsidR="00AE5DCE" w:rsidRPr="00AE5DCE" w:rsidRDefault="00AE5DCE" w:rsidP="00AE5DCE">
      <w:pPr>
        <w:pStyle w:val="FLSBody"/>
      </w:pPr>
      <w:r w:rsidRPr="00AE5DCE">
        <w:t xml:space="preserve">Several small </w:t>
      </w:r>
      <w:proofErr w:type="gramStart"/>
      <w:r w:rsidRPr="00AE5DCE">
        <w:rPr>
          <w:b/>
          <w:bCs/>
        </w:rPr>
        <w:t>watercourses</w:t>
      </w:r>
      <w:proofErr w:type="gramEnd"/>
      <w:r w:rsidRPr="00AE5DCE">
        <w:t xml:space="preserve"> start in the forest and</w:t>
      </w:r>
      <w:r w:rsidR="00525022">
        <w:t xml:space="preserve"> eventually</w:t>
      </w:r>
      <w:r w:rsidRPr="00AE5DCE">
        <w:t xml:space="preserve"> flow into the River </w:t>
      </w:r>
      <w:r w:rsidR="00525022">
        <w:t>Don</w:t>
      </w:r>
      <w:r w:rsidRPr="00AE5DCE">
        <w:t>. These rivers are important for wildlife and as sources of drinking water. We’ll focus on improving riverbank habitats and keeping them connected.</w:t>
      </w:r>
    </w:p>
    <w:p w14:paraId="25E1FEF9" w14:textId="4032D248" w:rsidR="00AE5DCE" w:rsidRPr="00AE5DCE" w:rsidRDefault="00AE5DCE" w:rsidP="00AE5DCE">
      <w:pPr>
        <w:pStyle w:val="FLSBody"/>
      </w:pPr>
      <w:r w:rsidRPr="00AE5DCE">
        <w:t xml:space="preserve">We’ll also improve how the forest fits into the </w:t>
      </w:r>
      <w:r w:rsidRPr="00AE5DCE">
        <w:rPr>
          <w:b/>
          <w:bCs/>
        </w:rPr>
        <w:t>landscape</w:t>
      </w:r>
      <w:r w:rsidRPr="00AE5DCE">
        <w:t>. That means softening the forest edge</w:t>
      </w:r>
      <w:r w:rsidR="00B039B6">
        <w:t>s</w:t>
      </w:r>
      <w:r w:rsidRPr="00AE5DCE">
        <w:t xml:space="preserve"> and avoiding rigid, geometric shapes when planting.</w:t>
      </w:r>
    </w:p>
    <w:p w14:paraId="45853986" w14:textId="77777777" w:rsidR="0084233C" w:rsidRPr="00AE5DCE" w:rsidRDefault="0084233C" w:rsidP="0084233C">
      <w:pPr>
        <w:pStyle w:val="FLSBody"/>
      </w:pPr>
      <w:r w:rsidRPr="00AE5DCE">
        <w:t xml:space="preserve">There </w:t>
      </w:r>
      <w:r w:rsidRPr="00AE5DCE">
        <w:rPr>
          <w:b/>
          <w:bCs/>
        </w:rPr>
        <w:t>are private water supplies</w:t>
      </w:r>
      <w:r w:rsidRPr="00AE5DCE">
        <w:t xml:space="preserve"> and pipelines in the forest and nearby farmland. We’ll need to </w:t>
      </w:r>
      <w:r>
        <w:t>record</w:t>
      </w:r>
      <w:r w:rsidRPr="00AE5DCE">
        <w:t xml:space="preserve"> them and make sure their catchments are well protected.</w:t>
      </w:r>
    </w:p>
    <w:p w14:paraId="69FF6DE5" w14:textId="384D0B76" w:rsidR="00AE5DCE" w:rsidRPr="00AE5DCE" w:rsidRDefault="00AE5DCE" w:rsidP="00AE5DCE">
      <w:pPr>
        <w:pStyle w:val="FLSBody"/>
      </w:pPr>
      <w:r w:rsidRPr="00AE5DCE">
        <w:t xml:space="preserve">There are </w:t>
      </w:r>
      <w:r w:rsidRPr="00AE5DCE">
        <w:rPr>
          <w:b/>
          <w:bCs/>
        </w:rPr>
        <w:t>historic features</w:t>
      </w:r>
      <w:r w:rsidRPr="00AE5DCE">
        <w:t xml:space="preserve"> throughout the forest, including </w:t>
      </w:r>
      <w:r w:rsidR="00525022">
        <w:t>trackways, old stone dykes and boundary stones</w:t>
      </w:r>
      <w:r w:rsidRPr="00AE5DCE">
        <w:t>. We’ll take care to protect these during forest operations.</w:t>
      </w:r>
    </w:p>
    <w:p w14:paraId="0727E96C" w14:textId="1B1147E4" w:rsidR="00AE5DCE" w:rsidRPr="00AE5DCE" w:rsidRDefault="00525022" w:rsidP="00AE5DCE">
      <w:pPr>
        <w:pStyle w:val="FLSBody"/>
      </w:pPr>
      <w:r>
        <w:t xml:space="preserve">There are areas of </w:t>
      </w:r>
      <w:r w:rsidRPr="00525022">
        <w:rPr>
          <w:b/>
          <w:bCs/>
        </w:rPr>
        <w:t xml:space="preserve">ancient </w:t>
      </w:r>
      <w:proofErr w:type="gramStart"/>
      <w:r w:rsidRPr="00525022">
        <w:rPr>
          <w:b/>
          <w:bCs/>
        </w:rPr>
        <w:t>woodland</w:t>
      </w:r>
      <w:proofErr w:type="gramEnd"/>
      <w:r>
        <w:t xml:space="preserve"> and s</w:t>
      </w:r>
      <w:r w:rsidR="00AE5DCE" w:rsidRPr="00AE5DCE">
        <w:t xml:space="preserve">ome areas are classed as </w:t>
      </w:r>
      <w:r w:rsidR="00AE5DCE" w:rsidRPr="00AE5DCE">
        <w:rPr>
          <w:b/>
          <w:bCs/>
        </w:rPr>
        <w:t>long-established woodland of plantation origin</w:t>
      </w:r>
      <w:r w:rsidR="00AE5DCE" w:rsidRPr="00AE5DCE">
        <w:t>. We’ll assess these sites and manage them using the latest guidance.</w:t>
      </w:r>
    </w:p>
    <w:p w14:paraId="39F484DE" w14:textId="14E7F138" w:rsidR="00820119" w:rsidRDefault="00E5415F" w:rsidP="00177C94">
      <w:pPr>
        <w:pStyle w:val="FLSHeading3"/>
      </w:pPr>
      <w:r>
        <w:t>Location and Landscape</w:t>
      </w:r>
    </w:p>
    <w:p w14:paraId="72773F8D" w14:textId="7A3B7023" w:rsidR="00AE5DCE" w:rsidRPr="00AE5DCE" w:rsidRDefault="00AE5DCE" w:rsidP="00AE5DCE">
      <w:pPr>
        <w:pStyle w:val="FLSBody"/>
        <w:rPr>
          <w:lang w:val="en-GB"/>
        </w:rPr>
      </w:pPr>
      <w:r w:rsidRPr="00AE5DCE">
        <w:rPr>
          <w:lang w:val="en-GB"/>
        </w:rPr>
        <w:t xml:space="preserve">The current Land Management Plan </w:t>
      </w:r>
      <w:r w:rsidR="00F2202D">
        <w:rPr>
          <w:lang w:val="en-GB"/>
        </w:rPr>
        <w:t>expired on</w:t>
      </w:r>
      <w:r w:rsidRPr="00AE5DCE">
        <w:rPr>
          <w:lang w:val="en-GB"/>
        </w:rPr>
        <w:t xml:space="preserve"> 2</w:t>
      </w:r>
      <w:r w:rsidR="00F2202D">
        <w:rPr>
          <w:lang w:val="en-GB"/>
        </w:rPr>
        <w:t>0</w:t>
      </w:r>
      <w:r w:rsidRPr="00AE5DCE">
        <w:rPr>
          <w:lang w:val="en-GB"/>
        </w:rPr>
        <w:t xml:space="preserve"> </w:t>
      </w:r>
      <w:r w:rsidR="00F2202D">
        <w:rPr>
          <w:lang w:val="en-GB"/>
        </w:rPr>
        <w:t>January</w:t>
      </w:r>
      <w:r w:rsidRPr="00AE5DCE">
        <w:rPr>
          <w:lang w:val="en-GB"/>
        </w:rPr>
        <w:t xml:space="preserve"> 2025. There aren’t any other active schemes in place.</w:t>
      </w:r>
    </w:p>
    <w:p w14:paraId="63CE027A" w14:textId="42BB6DB2" w:rsidR="00AE5DCE" w:rsidRPr="00AE5DCE" w:rsidRDefault="00F2202D" w:rsidP="00AE5DCE">
      <w:pPr>
        <w:pStyle w:val="FLSBody"/>
        <w:rPr>
          <w:lang w:val="en-GB"/>
        </w:rPr>
      </w:pPr>
      <w:proofErr w:type="spellStart"/>
      <w:r>
        <w:rPr>
          <w:lang w:val="en-GB"/>
        </w:rPr>
        <w:t>Midmar</w:t>
      </w:r>
      <w:proofErr w:type="spellEnd"/>
      <w:r w:rsidR="00AE5DCE" w:rsidRPr="00AE5DCE">
        <w:rPr>
          <w:lang w:val="en-GB"/>
        </w:rPr>
        <w:t xml:space="preserve"> lie</w:t>
      </w:r>
      <w:r w:rsidR="00AE5DCE">
        <w:rPr>
          <w:lang w:val="en-GB"/>
        </w:rPr>
        <w:t>s</w:t>
      </w:r>
      <w:r w:rsidR="00AE5DCE" w:rsidRPr="00AE5DCE">
        <w:rPr>
          <w:lang w:val="en-GB"/>
        </w:rPr>
        <w:t xml:space="preserve"> in </w:t>
      </w:r>
      <w:r>
        <w:rPr>
          <w:lang w:val="en-GB"/>
        </w:rPr>
        <w:t>eastern</w:t>
      </w:r>
      <w:r w:rsidR="00AE5DCE" w:rsidRPr="00AE5DCE">
        <w:rPr>
          <w:lang w:val="en-GB"/>
        </w:rPr>
        <w:t xml:space="preserve"> </w:t>
      </w:r>
      <w:r>
        <w:rPr>
          <w:lang w:val="en-GB"/>
        </w:rPr>
        <w:t>Aberdeenshire</w:t>
      </w:r>
      <w:r w:rsidR="00AE5DCE" w:rsidRPr="00AE5DCE">
        <w:rPr>
          <w:lang w:val="en-GB"/>
        </w:rPr>
        <w:t xml:space="preserve"> near </w:t>
      </w:r>
      <w:r>
        <w:rPr>
          <w:lang w:val="en-GB"/>
        </w:rPr>
        <w:t>Echt</w:t>
      </w:r>
      <w:r w:rsidR="00AE5DCE" w:rsidRPr="00AE5DCE">
        <w:rPr>
          <w:lang w:val="en-GB"/>
        </w:rPr>
        <w:t>. The land includes broad, rolling slopes rising from around 1</w:t>
      </w:r>
      <w:r>
        <w:rPr>
          <w:lang w:val="en-GB"/>
        </w:rPr>
        <w:t>00</w:t>
      </w:r>
      <w:r w:rsidR="00AE5DCE" w:rsidRPr="00AE5DCE">
        <w:rPr>
          <w:lang w:val="en-GB"/>
        </w:rPr>
        <w:t xml:space="preserve"> to </w:t>
      </w:r>
      <w:r>
        <w:rPr>
          <w:lang w:val="en-GB"/>
        </w:rPr>
        <w:t>450</w:t>
      </w:r>
      <w:r w:rsidR="00AE5DCE" w:rsidRPr="00AE5DCE">
        <w:rPr>
          <w:lang w:val="en-GB"/>
        </w:rPr>
        <w:t xml:space="preserve"> metres. The area is mostly rural with a low population.</w:t>
      </w:r>
    </w:p>
    <w:p w14:paraId="7141DEB4" w14:textId="5F4C3098" w:rsidR="00AE5DCE" w:rsidRPr="00AE5DCE" w:rsidRDefault="00AE5DCE" w:rsidP="00AE5DCE">
      <w:pPr>
        <w:pStyle w:val="FLSBody"/>
        <w:rPr>
          <w:lang w:val="en-GB"/>
        </w:rPr>
      </w:pPr>
      <w:r w:rsidRPr="00AE5DCE">
        <w:rPr>
          <w:lang w:val="en-GB"/>
        </w:rPr>
        <w:t>Th</w:t>
      </w:r>
      <w:r w:rsidR="00F2202D">
        <w:rPr>
          <w:lang w:val="en-GB"/>
        </w:rPr>
        <w:t>e surrounding</w:t>
      </w:r>
      <w:r w:rsidRPr="00AE5DCE">
        <w:rPr>
          <w:lang w:val="en-GB"/>
        </w:rPr>
        <w:t xml:space="preserve"> landscape is classed as Upland Farmland. It </w:t>
      </w:r>
      <w:r w:rsidR="00730D23">
        <w:rPr>
          <w:lang w:val="en-GB"/>
        </w:rPr>
        <w:t xml:space="preserve">also </w:t>
      </w:r>
      <w:r w:rsidRPr="00AE5DCE">
        <w:rPr>
          <w:lang w:val="en-GB"/>
        </w:rPr>
        <w:t xml:space="preserve">includes conifer plantations, open moorland and patches of native broadleaves. Some forest edges are highly visible from </w:t>
      </w:r>
      <w:r w:rsidR="00730D23">
        <w:rPr>
          <w:lang w:val="en-GB"/>
        </w:rPr>
        <w:t xml:space="preserve">the </w:t>
      </w:r>
      <w:r w:rsidRPr="00AE5DCE">
        <w:rPr>
          <w:lang w:val="en-GB"/>
        </w:rPr>
        <w:t>nearby</w:t>
      </w:r>
      <w:r w:rsidR="00730D23">
        <w:rPr>
          <w:lang w:val="en-GB"/>
        </w:rPr>
        <w:t xml:space="preserve"> B9119</w:t>
      </w:r>
      <w:r w:rsidRPr="00AE5DCE">
        <w:rPr>
          <w:lang w:val="en-GB"/>
        </w:rPr>
        <w:t xml:space="preserve"> public road</w:t>
      </w:r>
      <w:r w:rsidR="00730D23">
        <w:rPr>
          <w:lang w:val="en-GB"/>
        </w:rPr>
        <w:t xml:space="preserve"> and the surrounding towns and villages to the north</w:t>
      </w:r>
      <w:r w:rsidRPr="00AE5DCE">
        <w:rPr>
          <w:lang w:val="en-GB"/>
        </w:rPr>
        <w:t>.</w:t>
      </w:r>
    </w:p>
    <w:p w14:paraId="07099E2C" w14:textId="5610643D" w:rsidR="00AE5DCE" w:rsidRPr="00AE5DCE" w:rsidRDefault="00AE5DCE" w:rsidP="00AE5DCE">
      <w:pPr>
        <w:pStyle w:val="FLSBody"/>
        <w:rPr>
          <w:lang w:val="en-GB"/>
        </w:rPr>
      </w:pPr>
      <w:r w:rsidRPr="00AE5DCE">
        <w:rPr>
          <w:lang w:val="en-GB"/>
        </w:rPr>
        <w:lastRenderedPageBreak/>
        <w:t xml:space="preserve">Most of the mature trees </w:t>
      </w:r>
      <w:r w:rsidR="00730D23">
        <w:rPr>
          <w:lang w:val="en-GB"/>
        </w:rPr>
        <w:t xml:space="preserve">in the eastern side of the block </w:t>
      </w:r>
      <w:r w:rsidRPr="00AE5DCE">
        <w:rPr>
          <w:lang w:val="en-GB"/>
        </w:rPr>
        <w:t xml:space="preserve">were planted </w:t>
      </w:r>
      <w:r w:rsidR="00730D23">
        <w:rPr>
          <w:lang w:val="en-GB"/>
        </w:rPr>
        <w:t>in the early 1950s</w:t>
      </w:r>
      <w:r w:rsidRPr="00AE5DCE">
        <w:rPr>
          <w:lang w:val="en-GB"/>
        </w:rPr>
        <w:t xml:space="preserve">, with </w:t>
      </w:r>
      <w:r w:rsidR="00730D23">
        <w:rPr>
          <w:lang w:val="en-GB"/>
        </w:rPr>
        <w:t>some areas of Scots pine remaining from the 1930s. The western side of the block was mostly established with conifer crops in the 1960s and 1980s</w:t>
      </w:r>
      <w:r w:rsidRPr="00AE5DCE">
        <w:rPr>
          <w:lang w:val="en-GB"/>
        </w:rPr>
        <w:t xml:space="preserve">. The whole plan area covers about </w:t>
      </w:r>
      <w:r w:rsidR="00730D23">
        <w:rPr>
          <w:lang w:val="en-GB"/>
        </w:rPr>
        <w:t>572</w:t>
      </w:r>
      <w:r w:rsidRPr="00AE5DCE">
        <w:rPr>
          <w:lang w:val="en-GB"/>
        </w:rPr>
        <w:t xml:space="preserve"> hectares.</w:t>
      </w:r>
    </w:p>
    <w:p w14:paraId="14B3A78B" w14:textId="50170ED9" w:rsidR="00CB72E0" w:rsidRDefault="00CB72E0" w:rsidP="00177C94">
      <w:pPr>
        <w:pStyle w:val="FLSHeading3"/>
      </w:pPr>
      <w:r>
        <w:t>Soils</w:t>
      </w:r>
    </w:p>
    <w:p w14:paraId="2195C888" w14:textId="650D0D53" w:rsidR="00AE5DCE" w:rsidRPr="00AE5DCE" w:rsidRDefault="00AE5DCE" w:rsidP="00AE5DCE">
      <w:pPr>
        <w:pStyle w:val="FLSBody"/>
      </w:pPr>
      <w:r w:rsidRPr="00AE5DCE">
        <w:t xml:space="preserve">The soils here vary, from </w:t>
      </w:r>
      <w:r w:rsidR="00915DAA">
        <w:t>banket bog</w:t>
      </w:r>
      <w:r w:rsidRPr="00AE5DCE">
        <w:t xml:space="preserve"> and </w:t>
      </w:r>
      <w:r w:rsidR="00915DAA">
        <w:t xml:space="preserve">peaty rankers on the higher plateaus to </w:t>
      </w:r>
      <w:r w:rsidRPr="00AE5DCE">
        <w:t xml:space="preserve">humus podzols to brown earth </w:t>
      </w:r>
      <w:r w:rsidR="00915DAA">
        <w:t xml:space="preserve">and surface water </w:t>
      </w:r>
      <w:proofErr w:type="spellStart"/>
      <w:r w:rsidR="00915DAA">
        <w:t>gleys</w:t>
      </w:r>
      <w:proofErr w:type="spellEnd"/>
      <w:r w:rsidR="00915DAA">
        <w:t xml:space="preserve"> on the lower reaches. There are also large areas of podzol and </w:t>
      </w:r>
      <w:proofErr w:type="spellStart"/>
      <w:r w:rsidR="00915DAA">
        <w:t>ironpan</w:t>
      </w:r>
      <w:proofErr w:type="spellEnd"/>
      <w:r w:rsidR="00915DAA">
        <w:t xml:space="preserve"> soil types</w:t>
      </w:r>
      <w:r w:rsidRPr="00AE5DCE">
        <w:t>. This makes the area suitable for a mix of forestry types. Productive conifers grow well</w:t>
      </w:r>
      <w:r w:rsidR="00915DAA">
        <w:t xml:space="preserve"> with the best choice of species for the soil type present</w:t>
      </w:r>
      <w:r w:rsidRPr="00AE5DCE">
        <w:t xml:space="preserve"> and broadleaves do best on the better-drained soils</w:t>
      </w:r>
      <w:r w:rsidR="00915DAA">
        <w:t xml:space="preserve"> and riparian areas</w:t>
      </w:r>
      <w:r w:rsidRPr="00AE5DCE">
        <w:t>.</w:t>
      </w:r>
    </w:p>
    <w:p w14:paraId="0A3AC3C7" w14:textId="40C526A8" w:rsidR="00AE5DCE" w:rsidRPr="00AE5DCE" w:rsidRDefault="00AE5DCE" w:rsidP="00AE5DCE">
      <w:pPr>
        <w:pStyle w:val="FLSBody"/>
      </w:pPr>
      <w:r w:rsidRPr="00AE5DCE">
        <w:t xml:space="preserve">We’ll assess any areas with peaty </w:t>
      </w:r>
      <w:proofErr w:type="gramStart"/>
      <w:r w:rsidRPr="00AE5DCE">
        <w:t>soils</w:t>
      </w:r>
      <w:proofErr w:type="gramEnd"/>
      <w:r w:rsidRPr="00AE5DCE">
        <w:t xml:space="preserve"> to see whether they’re better suited to restocking or peatland restoration.</w:t>
      </w:r>
    </w:p>
    <w:p w14:paraId="7329731D" w14:textId="030FEAE9" w:rsidR="00E5415F" w:rsidRDefault="00E5415F" w:rsidP="00177C94">
      <w:pPr>
        <w:pStyle w:val="FLSHeading3"/>
      </w:pPr>
      <w:r>
        <w:t xml:space="preserve">Woodland Description </w:t>
      </w:r>
    </w:p>
    <w:p w14:paraId="3E2F6D75" w14:textId="5336886D" w:rsidR="00746DAB" w:rsidRDefault="00746DAB" w:rsidP="00746DAB">
      <w:pPr>
        <w:pStyle w:val="Heading2"/>
      </w:pPr>
      <w:r>
        <w:t>Age Class</w:t>
      </w:r>
    </w:p>
    <w:p w14:paraId="59D37665" w14:textId="68F3B0CC" w:rsidR="00746DAB" w:rsidRPr="00746DAB" w:rsidRDefault="00746DAB" w:rsidP="00746DAB">
      <w:pPr>
        <w:pStyle w:val="FLSBody"/>
        <w:rPr>
          <w:lang w:val="en-GB"/>
        </w:rPr>
      </w:pPr>
      <w:r>
        <w:rPr>
          <w:lang w:val="en-GB"/>
        </w:rPr>
        <w:t xml:space="preserve">The current age class distribution of the crops within the plan area is shown below. </w:t>
      </w:r>
      <w:r w:rsidR="00AE5DCE" w:rsidRPr="00AE5DCE">
        <w:rPr>
          <w:rFonts w:ascii="Times New Roman" w:hAnsi="Times New Roman"/>
          <w:szCs w:val="24"/>
          <w:lang w:val="en-GB" w:eastAsia="en-GB"/>
        </w:rPr>
        <w:t xml:space="preserve"> </w:t>
      </w:r>
      <w:r w:rsidR="00AE5DCE" w:rsidRPr="00AE5DCE">
        <w:rPr>
          <w:lang w:val="en-GB"/>
        </w:rPr>
        <w:t xml:space="preserve">A large area is still waiting to be restocked. That’s partly because some major planting is </w:t>
      </w:r>
      <w:r w:rsidR="00915DAA">
        <w:rPr>
          <w:lang w:val="en-GB"/>
        </w:rPr>
        <w:t>due to start this year</w:t>
      </w:r>
      <w:r w:rsidR="00AE5DCE" w:rsidRPr="00AE5DCE">
        <w:rPr>
          <w:lang w:val="en-GB"/>
        </w:rPr>
        <w:t>. Storm Arwen also caused damage that needed large felling operations, and we’re now preparing those areas for restock.</w:t>
      </w:r>
    </w:p>
    <w:p w14:paraId="0B45B4E1" w14:textId="694478BF" w:rsidR="00B65262" w:rsidRPr="00A75B27" w:rsidRDefault="00B65262" w:rsidP="00B65262">
      <w:pPr>
        <w:pStyle w:val="Caption"/>
        <w:rPr>
          <w:color w:val="auto"/>
        </w:rPr>
      </w:pPr>
      <w:bookmarkStart w:id="0" w:name="_Ref176439052"/>
      <w:r w:rsidRPr="00A75B27">
        <w:rPr>
          <w:color w:val="auto"/>
        </w:rPr>
        <w:t xml:space="preserve">Figure </w:t>
      </w:r>
      <w:r w:rsidRPr="00A75B27">
        <w:rPr>
          <w:color w:val="auto"/>
        </w:rPr>
        <w:fldChar w:fldCharType="begin"/>
      </w:r>
      <w:r w:rsidRPr="00A75B27">
        <w:rPr>
          <w:color w:val="auto"/>
        </w:rPr>
        <w:instrText xml:space="preserve"> SEQ Figure \* ARABIC </w:instrText>
      </w:r>
      <w:r w:rsidRPr="00A75B27">
        <w:rPr>
          <w:color w:val="auto"/>
        </w:rPr>
        <w:fldChar w:fldCharType="separate"/>
      </w:r>
      <w:r w:rsidRPr="00A75B27">
        <w:rPr>
          <w:noProof/>
          <w:color w:val="auto"/>
        </w:rPr>
        <w:t>1</w:t>
      </w:r>
      <w:r w:rsidRPr="00A75B27">
        <w:rPr>
          <w:color w:val="auto"/>
        </w:rPr>
        <w:fldChar w:fldCharType="end"/>
      </w:r>
      <w:bookmarkEnd w:id="0"/>
      <w:r w:rsidRPr="00A75B27">
        <w:rPr>
          <w:color w:val="auto"/>
        </w:rPr>
        <w:t>: current age class</w:t>
      </w:r>
      <w:r w:rsidR="00746DAB">
        <w:rPr>
          <w:color w:val="auto"/>
        </w:rPr>
        <w:t xml:space="preserve"> coverage</w:t>
      </w:r>
      <w:r w:rsidRPr="00A75B27">
        <w:rPr>
          <w:color w:val="auto"/>
        </w:rPr>
        <w:t>.</w:t>
      </w:r>
    </w:p>
    <w:p w14:paraId="0E88EAA1" w14:textId="09FD1CBF" w:rsidR="00746DAB" w:rsidRDefault="00CD6DF3">
      <w:r>
        <w:rPr>
          <w:noProof/>
        </w:rPr>
        <w:drawing>
          <wp:inline distT="0" distB="0" distL="0" distR="0" wp14:anchorId="3545DF61" wp14:editId="4C8C2416">
            <wp:extent cx="6015990" cy="4187825"/>
            <wp:effectExtent l="0" t="0" r="3810" b="3175"/>
            <wp:docPr id="1623726372" name="Chart 1" descr="Pie chart illustrating the current age class distribution">
              <a:extLst xmlns:a="http://schemas.openxmlformats.org/drawingml/2006/main">
                <a:ext uri="{FF2B5EF4-FFF2-40B4-BE49-F238E27FC236}">
                  <a16:creationId xmlns:a16="http://schemas.microsoft.com/office/drawing/2014/main" id="{1386407B-2523-9DF9-F575-0E46E4A62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 w:name="_Ref176430423"/>
    </w:p>
    <w:p w14:paraId="49C29AA2" w14:textId="672EEEB8" w:rsidR="003F2973" w:rsidRPr="00746DAB" w:rsidRDefault="003F2973" w:rsidP="00746DAB">
      <w:pPr>
        <w:rPr>
          <w:color w:val="FF0000"/>
        </w:rPr>
      </w:pPr>
      <w:r w:rsidRPr="005D2087">
        <w:lastRenderedPageBreak/>
        <w:t xml:space="preserve">Table </w:t>
      </w:r>
      <w:r w:rsidRPr="005D2087">
        <w:fldChar w:fldCharType="begin"/>
      </w:r>
      <w:r w:rsidRPr="005D2087">
        <w:instrText xml:space="preserve"> SEQ Table \* ARABIC </w:instrText>
      </w:r>
      <w:r w:rsidRPr="005D2087">
        <w:fldChar w:fldCharType="separate"/>
      </w:r>
      <w:r w:rsidRPr="005D2087">
        <w:rPr>
          <w:noProof/>
        </w:rPr>
        <w:t>1</w:t>
      </w:r>
      <w:r w:rsidRPr="005D2087">
        <w:fldChar w:fldCharType="end"/>
      </w:r>
      <w:bookmarkEnd w:id="1"/>
      <w:r w:rsidRPr="005D2087">
        <w:t>: current age profile.</w:t>
      </w:r>
    </w:p>
    <w:tbl>
      <w:tblPr>
        <w:tblStyle w:val="TableGrid"/>
        <w:tblW w:w="5000" w:type="pct"/>
        <w:tblLook w:val="04A0" w:firstRow="1" w:lastRow="0" w:firstColumn="1" w:lastColumn="0" w:noHBand="0" w:noVBand="1"/>
        <w:tblDescription w:val="Table 1: current age profile."/>
      </w:tblPr>
      <w:tblGrid>
        <w:gridCol w:w="5793"/>
        <w:gridCol w:w="1897"/>
        <w:gridCol w:w="1774"/>
      </w:tblGrid>
      <w:tr w:rsidR="005D2087" w:rsidRPr="005D2087" w14:paraId="0C327FD9" w14:textId="77777777" w:rsidTr="00192A36">
        <w:trPr>
          <w:trHeight w:val="20"/>
          <w:tblHeader/>
        </w:trPr>
        <w:tc>
          <w:tcPr>
            <w:tcW w:w="3061" w:type="pct"/>
            <w:shd w:val="clear" w:color="auto" w:fill="035F1D"/>
          </w:tcPr>
          <w:p w14:paraId="04D24371" w14:textId="72FA3543" w:rsidR="00192A36" w:rsidRPr="00177C94" w:rsidRDefault="00192A36" w:rsidP="00192A36">
            <w:pPr>
              <w:pStyle w:val="FLSBody"/>
              <w:spacing w:before="0" w:after="0"/>
              <w:jc w:val="center"/>
              <w:rPr>
                <w:b/>
                <w:bCs/>
                <w:color w:val="A1A1A1"/>
                <w:sz w:val="28"/>
                <w:szCs w:val="24"/>
              </w:rPr>
            </w:pPr>
            <w:r w:rsidRPr="00177C94">
              <w:rPr>
                <w:b/>
                <w:bCs/>
                <w:color w:val="FAFAFA"/>
                <w:sz w:val="28"/>
                <w:szCs w:val="24"/>
              </w:rPr>
              <w:t>Age Profile</w:t>
            </w:r>
          </w:p>
        </w:tc>
        <w:tc>
          <w:tcPr>
            <w:tcW w:w="1002" w:type="pct"/>
            <w:shd w:val="clear" w:color="auto" w:fill="035F1D"/>
          </w:tcPr>
          <w:p w14:paraId="11720A04" w14:textId="675A7335"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(ha)</w:t>
            </w:r>
          </w:p>
        </w:tc>
        <w:tc>
          <w:tcPr>
            <w:tcW w:w="937" w:type="pct"/>
            <w:shd w:val="clear" w:color="auto" w:fill="035F1D"/>
          </w:tcPr>
          <w:p w14:paraId="5EF6E543" w14:textId="461AE14F"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w:t>
            </w:r>
          </w:p>
        </w:tc>
      </w:tr>
      <w:tr w:rsidR="005D2087" w:rsidRPr="005D2087" w14:paraId="1A0715DA" w14:textId="77777777" w:rsidTr="00192A36">
        <w:trPr>
          <w:trHeight w:val="20"/>
        </w:trPr>
        <w:tc>
          <w:tcPr>
            <w:tcW w:w="3061" w:type="pct"/>
          </w:tcPr>
          <w:p w14:paraId="085F6C18" w14:textId="2DAED217" w:rsidR="00192A36" w:rsidRPr="005D2087" w:rsidRDefault="00192A36" w:rsidP="00192A36">
            <w:pPr>
              <w:pStyle w:val="FLSBody"/>
              <w:spacing w:before="0" w:after="0"/>
              <w:jc w:val="center"/>
            </w:pPr>
            <w:r w:rsidRPr="005D2087">
              <w:t>Establishment (0-10 years)</w:t>
            </w:r>
          </w:p>
        </w:tc>
        <w:tc>
          <w:tcPr>
            <w:tcW w:w="1002" w:type="pct"/>
          </w:tcPr>
          <w:p w14:paraId="4FC29A67" w14:textId="23D7BB20" w:rsidR="00192A36" w:rsidRPr="005D2087" w:rsidRDefault="00CD6DF3" w:rsidP="00192A36">
            <w:pPr>
              <w:pStyle w:val="FLSBody"/>
              <w:spacing w:before="0" w:after="0"/>
              <w:jc w:val="center"/>
            </w:pPr>
            <w:r>
              <w:t>46.6</w:t>
            </w:r>
          </w:p>
        </w:tc>
        <w:tc>
          <w:tcPr>
            <w:tcW w:w="937" w:type="pct"/>
          </w:tcPr>
          <w:p w14:paraId="77AA3868" w14:textId="35966A7A" w:rsidR="00192A36" w:rsidRPr="005D2087" w:rsidRDefault="00CD6DF3" w:rsidP="00192A36">
            <w:pPr>
              <w:pStyle w:val="FLSBody"/>
              <w:spacing w:before="0" w:after="0"/>
              <w:jc w:val="center"/>
            </w:pPr>
            <w:r>
              <w:t>8%</w:t>
            </w:r>
          </w:p>
        </w:tc>
      </w:tr>
      <w:tr w:rsidR="005D2087" w:rsidRPr="005D2087" w14:paraId="41DCBCD1" w14:textId="77777777" w:rsidTr="00192A36">
        <w:trPr>
          <w:trHeight w:val="20"/>
        </w:trPr>
        <w:tc>
          <w:tcPr>
            <w:tcW w:w="3061" w:type="pct"/>
            <w:shd w:val="clear" w:color="auto" w:fill="A5D1A0"/>
          </w:tcPr>
          <w:p w14:paraId="1CDE0C30" w14:textId="0DACC5AD" w:rsidR="00192A36" w:rsidRPr="005D2087" w:rsidRDefault="00192A36" w:rsidP="00192A36">
            <w:pPr>
              <w:pStyle w:val="FLSBody"/>
              <w:spacing w:before="0" w:after="0"/>
              <w:jc w:val="center"/>
            </w:pPr>
            <w:r w:rsidRPr="005D2087">
              <w:t>Thicket (11-20 years)</w:t>
            </w:r>
          </w:p>
        </w:tc>
        <w:tc>
          <w:tcPr>
            <w:tcW w:w="1002" w:type="pct"/>
            <w:shd w:val="clear" w:color="auto" w:fill="A5D1A0"/>
          </w:tcPr>
          <w:p w14:paraId="0D864590" w14:textId="213D1432" w:rsidR="00192A36" w:rsidRPr="005D2087" w:rsidRDefault="00CD6DF3" w:rsidP="00192A36">
            <w:pPr>
              <w:pStyle w:val="FLSBody"/>
              <w:spacing w:before="0" w:after="0"/>
              <w:jc w:val="center"/>
            </w:pPr>
            <w:r>
              <w:t>32.1</w:t>
            </w:r>
          </w:p>
        </w:tc>
        <w:tc>
          <w:tcPr>
            <w:tcW w:w="937" w:type="pct"/>
            <w:shd w:val="clear" w:color="auto" w:fill="A5D1A0"/>
          </w:tcPr>
          <w:p w14:paraId="73275AA9" w14:textId="48B876DA" w:rsidR="00192A36" w:rsidRPr="005D2087" w:rsidRDefault="00CD6DF3" w:rsidP="00192A36">
            <w:pPr>
              <w:pStyle w:val="FLSBody"/>
              <w:spacing w:before="0" w:after="0"/>
              <w:jc w:val="center"/>
            </w:pPr>
            <w:r>
              <w:t>6%</w:t>
            </w:r>
          </w:p>
        </w:tc>
      </w:tr>
      <w:tr w:rsidR="005D2087" w:rsidRPr="005D2087" w14:paraId="4C7EF1F6" w14:textId="77777777" w:rsidTr="00192A36">
        <w:trPr>
          <w:trHeight w:val="20"/>
        </w:trPr>
        <w:tc>
          <w:tcPr>
            <w:tcW w:w="3061" w:type="pct"/>
          </w:tcPr>
          <w:p w14:paraId="4C447C7C" w14:textId="2305F315" w:rsidR="00192A36" w:rsidRPr="005D2087" w:rsidRDefault="00192A36" w:rsidP="00192A36">
            <w:pPr>
              <w:pStyle w:val="FLSBody"/>
              <w:spacing w:before="0" w:after="0"/>
              <w:jc w:val="center"/>
            </w:pPr>
            <w:r w:rsidRPr="005D2087">
              <w:t>Pole Stage (21-30 years)</w:t>
            </w:r>
          </w:p>
        </w:tc>
        <w:tc>
          <w:tcPr>
            <w:tcW w:w="1002" w:type="pct"/>
          </w:tcPr>
          <w:p w14:paraId="7A6883B9" w14:textId="2F2D138C" w:rsidR="00192A36" w:rsidRPr="005D2087" w:rsidRDefault="00CD6DF3" w:rsidP="00192A36">
            <w:pPr>
              <w:pStyle w:val="FLSBody"/>
              <w:spacing w:before="0" w:after="0"/>
              <w:jc w:val="center"/>
            </w:pPr>
            <w:r>
              <w:t>35.1</w:t>
            </w:r>
          </w:p>
        </w:tc>
        <w:tc>
          <w:tcPr>
            <w:tcW w:w="937" w:type="pct"/>
          </w:tcPr>
          <w:p w14:paraId="169258E1" w14:textId="0F64B524" w:rsidR="00192A36" w:rsidRPr="005D2087" w:rsidRDefault="00CD6DF3" w:rsidP="00192A36">
            <w:pPr>
              <w:pStyle w:val="FLSBody"/>
              <w:spacing w:before="0" w:after="0"/>
              <w:jc w:val="center"/>
            </w:pPr>
            <w:r>
              <w:t>6%</w:t>
            </w:r>
          </w:p>
        </w:tc>
      </w:tr>
      <w:tr w:rsidR="005D2087" w:rsidRPr="005D2087" w14:paraId="022F6148" w14:textId="77777777" w:rsidTr="00192A36">
        <w:trPr>
          <w:trHeight w:val="20"/>
        </w:trPr>
        <w:tc>
          <w:tcPr>
            <w:tcW w:w="3061" w:type="pct"/>
            <w:shd w:val="clear" w:color="auto" w:fill="A5D1A0"/>
          </w:tcPr>
          <w:p w14:paraId="3D153C90" w14:textId="72E57E79" w:rsidR="00192A36" w:rsidRPr="005D2087" w:rsidRDefault="00192A36" w:rsidP="00192A36">
            <w:pPr>
              <w:pStyle w:val="FLSBody"/>
              <w:spacing w:before="0" w:after="0"/>
              <w:jc w:val="center"/>
            </w:pPr>
            <w:r w:rsidRPr="005D2087">
              <w:t>Mature High Forest (31-60 years)</w:t>
            </w:r>
          </w:p>
        </w:tc>
        <w:tc>
          <w:tcPr>
            <w:tcW w:w="1002" w:type="pct"/>
            <w:shd w:val="clear" w:color="auto" w:fill="A5D1A0"/>
          </w:tcPr>
          <w:p w14:paraId="72C1441D" w14:textId="2DD00218" w:rsidR="00192A36" w:rsidRPr="005D2087" w:rsidRDefault="00CD6DF3" w:rsidP="00192A36">
            <w:pPr>
              <w:pStyle w:val="FLSBody"/>
              <w:spacing w:before="0" w:after="0"/>
              <w:jc w:val="center"/>
            </w:pPr>
            <w:r>
              <w:t>136</w:t>
            </w:r>
          </w:p>
        </w:tc>
        <w:tc>
          <w:tcPr>
            <w:tcW w:w="937" w:type="pct"/>
            <w:shd w:val="clear" w:color="auto" w:fill="A5D1A0"/>
          </w:tcPr>
          <w:p w14:paraId="7B5F0AA3" w14:textId="2C451194" w:rsidR="00192A36" w:rsidRPr="005D2087" w:rsidRDefault="00CD6DF3" w:rsidP="00192A36">
            <w:pPr>
              <w:pStyle w:val="FLSBody"/>
              <w:spacing w:before="0" w:after="0"/>
              <w:jc w:val="center"/>
            </w:pPr>
            <w:r>
              <w:t>24%</w:t>
            </w:r>
          </w:p>
        </w:tc>
      </w:tr>
      <w:tr w:rsidR="005D2087" w:rsidRPr="005D2087" w14:paraId="3D62816E" w14:textId="77777777" w:rsidTr="00192A36">
        <w:trPr>
          <w:trHeight w:val="20"/>
        </w:trPr>
        <w:tc>
          <w:tcPr>
            <w:tcW w:w="3061" w:type="pct"/>
          </w:tcPr>
          <w:p w14:paraId="6EB3A75F" w14:textId="75C75738" w:rsidR="00192A36" w:rsidRPr="005D2087" w:rsidRDefault="00192A36" w:rsidP="00192A36">
            <w:pPr>
              <w:pStyle w:val="FLSBody"/>
              <w:spacing w:before="0" w:after="0"/>
              <w:jc w:val="center"/>
            </w:pPr>
            <w:r w:rsidRPr="005D2087">
              <w:t>Old High Forest (61+ years)</w:t>
            </w:r>
          </w:p>
        </w:tc>
        <w:tc>
          <w:tcPr>
            <w:tcW w:w="1002" w:type="pct"/>
          </w:tcPr>
          <w:p w14:paraId="7D28EBC2" w14:textId="2D7AEEAB" w:rsidR="00192A36" w:rsidRPr="005D2087" w:rsidRDefault="00CD6DF3" w:rsidP="00192A36">
            <w:pPr>
              <w:pStyle w:val="FLSBody"/>
              <w:spacing w:before="0" w:after="0"/>
              <w:jc w:val="center"/>
            </w:pPr>
            <w:r>
              <w:t>141.3</w:t>
            </w:r>
          </w:p>
        </w:tc>
        <w:tc>
          <w:tcPr>
            <w:tcW w:w="937" w:type="pct"/>
          </w:tcPr>
          <w:p w14:paraId="25E9792C" w14:textId="02DBF389" w:rsidR="00192A36" w:rsidRPr="005D2087" w:rsidRDefault="00CD6DF3" w:rsidP="00192A36">
            <w:pPr>
              <w:pStyle w:val="FLSBody"/>
              <w:spacing w:before="0" w:after="0"/>
              <w:jc w:val="center"/>
            </w:pPr>
            <w:r>
              <w:t>25%</w:t>
            </w:r>
          </w:p>
        </w:tc>
      </w:tr>
      <w:tr w:rsidR="005D2087" w:rsidRPr="005D2087" w14:paraId="231089CF" w14:textId="77777777" w:rsidTr="00192A36">
        <w:trPr>
          <w:trHeight w:val="20"/>
        </w:trPr>
        <w:tc>
          <w:tcPr>
            <w:tcW w:w="3061" w:type="pct"/>
            <w:shd w:val="clear" w:color="auto" w:fill="A5D1A0"/>
          </w:tcPr>
          <w:p w14:paraId="671AF246" w14:textId="4C312AB5" w:rsidR="00192A36" w:rsidRPr="005D2087" w:rsidRDefault="00192A36" w:rsidP="00192A36">
            <w:pPr>
              <w:pStyle w:val="FLSBody"/>
              <w:spacing w:before="0" w:after="0"/>
              <w:jc w:val="center"/>
            </w:pPr>
            <w:r w:rsidRPr="005D2087">
              <w:t>Open Ground/Felled Awaiting Restock</w:t>
            </w:r>
          </w:p>
        </w:tc>
        <w:tc>
          <w:tcPr>
            <w:tcW w:w="1002" w:type="pct"/>
            <w:shd w:val="clear" w:color="auto" w:fill="A5D1A0"/>
          </w:tcPr>
          <w:p w14:paraId="0FCD4E76" w14:textId="57B98898" w:rsidR="00192A36" w:rsidRPr="005D2087" w:rsidRDefault="00CD6DF3" w:rsidP="00192A36">
            <w:pPr>
              <w:pStyle w:val="FLSBody"/>
              <w:spacing w:before="0" w:after="0"/>
              <w:jc w:val="center"/>
            </w:pPr>
            <w:r>
              <w:t>181</w:t>
            </w:r>
          </w:p>
        </w:tc>
        <w:tc>
          <w:tcPr>
            <w:tcW w:w="937" w:type="pct"/>
            <w:shd w:val="clear" w:color="auto" w:fill="A5D1A0"/>
          </w:tcPr>
          <w:p w14:paraId="5247AEFA" w14:textId="04D4F725" w:rsidR="00192A36" w:rsidRPr="005D2087" w:rsidRDefault="00CD6DF3" w:rsidP="00192A36">
            <w:pPr>
              <w:pStyle w:val="FLSBody"/>
              <w:spacing w:before="0" w:after="0"/>
              <w:jc w:val="center"/>
            </w:pPr>
            <w:r>
              <w:t>32%</w:t>
            </w:r>
          </w:p>
        </w:tc>
      </w:tr>
      <w:tr w:rsidR="005D2087" w:rsidRPr="005D2087" w14:paraId="7F039351" w14:textId="77777777" w:rsidTr="00192A36">
        <w:trPr>
          <w:trHeight w:val="20"/>
        </w:trPr>
        <w:tc>
          <w:tcPr>
            <w:tcW w:w="3061" w:type="pct"/>
            <w:shd w:val="clear" w:color="auto" w:fill="035F1D"/>
          </w:tcPr>
          <w:p w14:paraId="4C838DA2" w14:textId="36064261" w:rsidR="00192A36" w:rsidRPr="00177C94" w:rsidRDefault="00192A36" w:rsidP="00192A36">
            <w:pPr>
              <w:pStyle w:val="FLSBody"/>
              <w:spacing w:before="0" w:after="0"/>
              <w:jc w:val="center"/>
              <w:rPr>
                <w:b/>
                <w:bCs/>
                <w:color w:val="FAFAFA"/>
              </w:rPr>
            </w:pPr>
            <w:r w:rsidRPr="00177C94">
              <w:rPr>
                <w:b/>
                <w:bCs/>
                <w:color w:val="FAFAFA"/>
              </w:rPr>
              <w:t>Total</w:t>
            </w:r>
          </w:p>
        </w:tc>
        <w:tc>
          <w:tcPr>
            <w:tcW w:w="1002" w:type="pct"/>
            <w:shd w:val="clear" w:color="auto" w:fill="035F1D"/>
          </w:tcPr>
          <w:p w14:paraId="6DDD6BF8" w14:textId="69E4DD7F" w:rsidR="00192A36" w:rsidRPr="00177C94" w:rsidRDefault="00CD6DF3" w:rsidP="00192A36">
            <w:pPr>
              <w:pStyle w:val="FLSBody"/>
              <w:spacing w:before="0" w:after="0"/>
              <w:jc w:val="center"/>
              <w:rPr>
                <w:b/>
                <w:bCs/>
                <w:color w:val="FFFFFF"/>
              </w:rPr>
            </w:pPr>
            <w:r>
              <w:rPr>
                <w:b/>
                <w:bCs/>
                <w:color w:val="FFFFFF"/>
              </w:rPr>
              <w:t>572.1</w:t>
            </w:r>
          </w:p>
        </w:tc>
        <w:tc>
          <w:tcPr>
            <w:tcW w:w="937" w:type="pct"/>
            <w:shd w:val="clear" w:color="auto" w:fill="035F1D"/>
          </w:tcPr>
          <w:p w14:paraId="62840D6A" w14:textId="14FDE1EF" w:rsidR="00192A36" w:rsidRPr="00177C94" w:rsidRDefault="005D2087" w:rsidP="00192A36">
            <w:pPr>
              <w:pStyle w:val="FLSBody"/>
              <w:spacing w:before="0" w:after="0"/>
              <w:jc w:val="center"/>
              <w:rPr>
                <w:b/>
                <w:bCs/>
                <w:color w:val="FFFFFF"/>
              </w:rPr>
            </w:pPr>
            <w:r w:rsidRPr="00177C94">
              <w:rPr>
                <w:b/>
                <w:bCs/>
                <w:color w:val="FFFFFF"/>
              </w:rPr>
              <w:t>100</w:t>
            </w:r>
          </w:p>
        </w:tc>
      </w:tr>
    </w:tbl>
    <w:p w14:paraId="6E767929" w14:textId="77777777" w:rsidR="00746DAB" w:rsidRDefault="00746DAB" w:rsidP="00746DAB">
      <w:pPr>
        <w:pStyle w:val="Heading2"/>
      </w:pPr>
      <w:r>
        <w:t>Species Coverage</w:t>
      </w:r>
    </w:p>
    <w:p w14:paraId="6D124226" w14:textId="78836976" w:rsidR="00AE5DCE" w:rsidRPr="00AE5DCE" w:rsidRDefault="00AE5DCE" w:rsidP="00AE5DCE">
      <w:pPr>
        <w:pStyle w:val="FLSBody"/>
        <w:rPr>
          <w:lang w:val="en-GB"/>
        </w:rPr>
      </w:pPr>
      <w:r w:rsidRPr="00AE5DCE">
        <w:rPr>
          <w:lang w:val="en-GB"/>
        </w:rPr>
        <w:t xml:space="preserve">Sitka spruce </w:t>
      </w:r>
      <w:r w:rsidR="0084233C">
        <w:rPr>
          <w:lang w:val="en-GB"/>
        </w:rPr>
        <w:t>is the</w:t>
      </w:r>
      <w:r w:rsidRPr="00AE5DCE">
        <w:rPr>
          <w:lang w:val="en-GB"/>
        </w:rPr>
        <w:t xml:space="preserve"> most common tree species, making up </w:t>
      </w:r>
      <w:r w:rsidR="0084233C">
        <w:rPr>
          <w:lang w:val="en-GB"/>
        </w:rPr>
        <w:t>three times more coverage than the next most common species, Scots pine</w:t>
      </w:r>
      <w:r w:rsidRPr="00AE5DCE">
        <w:rPr>
          <w:lang w:val="en-GB"/>
        </w:rPr>
        <w:t xml:space="preserve">. We’re </w:t>
      </w:r>
      <w:r w:rsidR="0084233C">
        <w:rPr>
          <w:lang w:val="en-GB"/>
        </w:rPr>
        <w:t>currently failing to meet</w:t>
      </w:r>
      <w:r w:rsidRPr="00AE5DCE">
        <w:rPr>
          <w:lang w:val="en-GB"/>
        </w:rPr>
        <w:t xml:space="preserve"> the UK Forest Standard </w:t>
      </w:r>
      <w:r w:rsidR="0084233C">
        <w:rPr>
          <w:lang w:val="en-GB"/>
        </w:rPr>
        <w:t xml:space="preserve">(UKFS) </w:t>
      </w:r>
      <w:r w:rsidRPr="00AE5DCE">
        <w:rPr>
          <w:lang w:val="en-GB"/>
        </w:rPr>
        <w:t xml:space="preserve">target for broadleaf </w:t>
      </w:r>
      <w:r>
        <w:rPr>
          <w:lang w:val="en-GB"/>
        </w:rPr>
        <w:t>coverage</w:t>
      </w:r>
      <w:r w:rsidR="0084233C">
        <w:rPr>
          <w:lang w:val="en-GB"/>
        </w:rPr>
        <w:t>, at 3% instead of the 5% target.</w:t>
      </w:r>
      <w:r w:rsidRPr="00AE5DCE">
        <w:rPr>
          <w:lang w:val="en-GB"/>
        </w:rPr>
        <w:t xml:space="preserve"> </w:t>
      </w:r>
      <w:r w:rsidR="0084233C">
        <w:rPr>
          <w:lang w:val="en-GB"/>
        </w:rPr>
        <w:t>Managed</w:t>
      </w:r>
      <w:r w:rsidRPr="00AE5DCE">
        <w:rPr>
          <w:lang w:val="en-GB"/>
        </w:rPr>
        <w:t xml:space="preserve"> open space accounts for 1</w:t>
      </w:r>
      <w:r w:rsidR="0084233C">
        <w:rPr>
          <w:lang w:val="en-GB"/>
        </w:rPr>
        <w:t>2</w:t>
      </w:r>
      <w:r w:rsidRPr="00AE5DCE">
        <w:rPr>
          <w:lang w:val="en-GB"/>
        </w:rPr>
        <w:t>%</w:t>
      </w:r>
      <w:r w:rsidR="0084233C">
        <w:rPr>
          <w:lang w:val="en-GB"/>
        </w:rPr>
        <w:t xml:space="preserve"> of the total LMP area</w:t>
      </w:r>
      <w:r w:rsidRPr="00AE5DCE">
        <w:rPr>
          <w:lang w:val="en-GB"/>
        </w:rPr>
        <w:t>.</w:t>
      </w:r>
    </w:p>
    <w:p w14:paraId="7080966D" w14:textId="55A0FE35" w:rsidR="00AE5DCE" w:rsidRPr="00AE5DCE" w:rsidRDefault="00AE5DCE" w:rsidP="00AE5DCE">
      <w:pPr>
        <w:pStyle w:val="FLSBody"/>
        <w:rPr>
          <w:lang w:val="en-GB"/>
        </w:rPr>
      </w:pPr>
      <w:r w:rsidRPr="00AE5DCE">
        <w:rPr>
          <w:lang w:val="en-GB"/>
        </w:rPr>
        <w:t>When we choose new planting mixes, we’ll aim to keep diversifying the species, especially in wetland areas. We’ll use productive conifers where they suit the soil and site, and native broadleaves to help improve riverbank habitats.</w:t>
      </w:r>
      <w:r w:rsidR="0084233C">
        <w:rPr>
          <w:lang w:val="en-GB"/>
        </w:rPr>
        <w:t xml:space="preserve"> Our target will be to increase broadleaf coverage to above the minimum 5% UKFS requirement within this plan period.</w:t>
      </w:r>
    </w:p>
    <w:p w14:paraId="2A8B1DFA" w14:textId="1FFEF3AD" w:rsidR="003F2973" w:rsidRPr="00C2240C" w:rsidRDefault="00B65262" w:rsidP="001332FE">
      <w:pPr>
        <w:pStyle w:val="FLSBody"/>
        <w:rPr>
          <w:color w:val="FF0000"/>
        </w:rPr>
      </w:pPr>
      <w:r w:rsidRPr="00C2240C">
        <w:rPr>
          <w:noProof/>
          <w:color w:val="FF0000"/>
        </w:rPr>
        <mc:AlternateContent>
          <mc:Choice Requires="wps">
            <w:drawing>
              <wp:inline distT="0" distB="0" distL="0" distR="0" wp14:anchorId="521EAEC8" wp14:editId="2FE0D03D">
                <wp:extent cx="6015990" cy="635"/>
                <wp:effectExtent l="0" t="0" r="3810" b="4445"/>
                <wp:docPr id="1787204855" name="Text Box 1"/>
                <wp:cNvGraphicFramePr/>
                <a:graphic xmlns:a="http://schemas.openxmlformats.org/drawingml/2006/main">
                  <a:graphicData uri="http://schemas.microsoft.com/office/word/2010/wordprocessingShape">
                    <wps:wsp>
                      <wps:cNvSpPr txBox="1"/>
                      <wps:spPr>
                        <a:xfrm>
                          <a:off x="0" y="0"/>
                          <a:ext cx="6015990" cy="635"/>
                        </a:xfrm>
                        <a:prstGeom prst="rect">
                          <a:avLst/>
                        </a:prstGeom>
                        <a:solidFill>
                          <a:prstClr val="white"/>
                        </a:solidFill>
                        <a:ln>
                          <a:noFill/>
                        </a:ln>
                      </wps:spPr>
                      <wps:txbx>
                        <w:txbxContent>
                          <w:p w14:paraId="6968D406" w14:textId="495B78A9" w:rsidR="00B65262" w:rsidRPr="009C6021" w:rsidRDefault="00B65262" w:rsidP="00B65262">
                            <w:pPr>
                              <w:pStyle w:val="Caption"/>
                              <w:rPr>
                                <w:noProof/>
                                <w:szCs w:val="22"/>
                              </w:rPr>
                            </w:pPr>
                            <w:bookmarkStart w:id="2" w:name="_Ref176439082"/>
                            <w:r>
                              <w:t xml:space="preserve">Figure </w:t>
                            </w:r>
                            <w:r>
                              <w:fldChar w:fldCharType="begin"/>
                            </w:r>
                            <w:r>
                              <w:instrText xml:space="preserve"> SEQ Figure \* ARABIC </w:instrText>
                            </w:r>
                            <w:r>
                              <w:fldChar w:fldCharType="separate"/>
                            </w:r>
                            <w:r>
                              <w:rPr>
                                <w:noProof/>
                              </w:rPr>
                              <w:t>2</w:t>
                            </w:r>
                            <w:r>
                              <w:fldChar w:fldCharType="end"/>
                            </w:r>
                            <w:bookmarkEnd w:id="2"/>
                            <w:r>
                              <w:t>: current species.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21EAEC8" id="_x0000_t202" coordsize="21600,21600" o:spt="202" path="m,l,21600r21600,l21600,xe">
                <v:stroke joinstyle="miter"/>
                <v:path gradientshapeok="t" o:connecttype="rect"/>
              </v:shapetype>
              <v:shape id="Text Box 1" o:spid="_x0000_s1026" type="#_x0000_t202" style="width:473.7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" stroked="f">
                <v:textbox style="mso-fit-shape-to-text:t" inset="0,0,0,0">
                  <w:txbxContent>
                    <w:p w14:paraId="6968D406" w14:textId="495B78A9" w:rsidR="00B65262" w:rsidRPr="009C6021" w:rsidRDefault="00B65262" w:rsidP="00B65262">
                      <w:pPr>
                        <w:pStyle w:val="Caption"/>
                        <w:rPr>
                          <w:noProof/>
                          <w:szCs w:val="22"/>
                        </w:rPr>
                      </w:pPr>
                      <w:bookmarkStart w:id="3" w:name="_Ref176439082"/>
                      <w:r>
                        <w:t xml:space="preserve">Figure </w:t>
                      </w:r>
                      <w:r>
                        <w:fldChar w:fldCharType="begin"/>
                      </w:r>
                      <w:r>
                        <w:instrText xml:space="preserve"> SEQ Figure \* ARABIC </w:instrText>
                      </w:r>
                      <w:r>
                        <w:fldChar w:fldCharType="separate"/>
                      </w:r>
                      <w:r>
                        <w:rPr>
                          <w:noProof/>
                        </w:rPr>
                        <w:t>2</w:t>
                      </w:r>
                      <w:r>
                        <w:fldChar w:fldCharType="end"/>
                      </w:r>
                      <w:bookmarkEnd w:id="3"/>
                      <w:r>
                        <w:t>: current species.</w:t>
                      </w:r>
                    </w:p>
                  </w:txbxContent>
                </v:textbox>
                <w10:anchorlock/>
              </v:shape>
            </w:pict>
          </mc:Fallback>
        </mc:AlternateContent>
      </w:r>
      <w:r w:rsidR="00CB72E0" w:rsidRPr="00C2240C">
        <w:rPr>
          <w:color w:val="FF0000"/>
        </w:rPr>
        <w:t xml:space="preserve"> </w:t>
      </w:r>
    </w:p>
    <w:p w14:paraId="454B769F" w14:textId="00616DF9" w:rsidR="003F2973" w:rsidRPr="00C2240C" w:rsidRDefault="0084233C" w:rsidP="00B65262">
      <w:pPr>
        <w:rPr>
          <w:color w:val="FF0000"/>
        </w:rPr>
      </w:pPr>
      <w:bookmarkStart w:id="4" w:name="_Ref176432191"/>
      <w:r>
        <w:rPr>
          <w:noProof/>
        </w:rPr>
        <w:drawing>
          <wp:inline distT="0" distB="0" distL="0" distR="0" wp14:anchorId="74A85513" wp14:editId="454F0D95">
            <wp:extent cx="6015990" cy="4122420"/>
            <wp:effectExtent l="0" t="0" r="3810" b="11430"/>
            <wp:docPr id="150145718" name="Chart 1" descr="Pie chart illustrating the current tree species distribution.">
              <a:extLst xmlns:a="http://schemas.openxmlformats.org/drawingml/2006/main">
                <a:ext uri="{FF2B5EF4-FFF2-40B4-BE49-F238E27FC236}">
                  <a16:creationId xmlns:a16="http://schemas.microsoft.com/office/drawing/2014/main" id="{C5AB9364-75BB-9A04-0F4E-755C231DB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65262" w:rsidRPr="00C2240C">
        <w:rPr>
          <w:color w:val="FF0000"/>
        </w:rPr>
        <w:br w:type="page"/>
      </w:r>
      <w:r w:rsidR="003F2973" w:rsidRPr="003E70B1">
        <w:lastRenderedPageBreak/>
        <w:t xml:space="preserve">Table </w:t>
      </w:r>
      <w:r w:rsidR="003F2973" w:rsidRPr="003E70B1">
        <w:fldChar w:fldCharType="begin"/>
      </w:r>
      <w:r w:rsidR="003F2973" w:rsidRPr="003E70B1">
        <w:instrText xml:space="preserve"> SEQ Table \* ARABIC </w:instrText>
      </w:r>
      <w:r w:rsidR="003F2973" w:rsidRPr="003E70B1">
        <w:fldChar w:fldCharType="separate"/>
      </w:r>
      <w:r w:rsidR="003F2973" w:rsidRPr="003E70B1">
        <w:rPr>
          <w:noProof/>
        </w:rPr>
        <w:t>2</w:t>
      </w:r>
      <w:r w:rsidR="003F2973" w:rsidRPr="003E70B1">
        <w:fldChar w:fldCharType="end"/>
      </w:r>
      <w:bookmarkEnd w:id="4"/>
      <w:r w:rsidR="003F2973" w:rsidRPr="003E70B1">
        <w:t>: current species</w:t>
      </w:r>
      <w:r w:rsidR="00192A36" w:rsidRPr="003E70B1">
        <w:t>.</w:t>
      </w:r>
    </w:p>
    <w:tbl>
      <w:tblPr>
        <w:tblStyle w:val="TableGrid"/>
        <w:tblW w:w="5000" w:type="pct"/>
        <w:tblLook w:val="04A0" w:firstRow="1" w:lastRow="0" w:firstColumn="1" w:lastColumn="0" w:noHBand="0" w:noVBand="1"/>
        <w:tblDescription w:val="Table 2: current species."/>
      </w:tblPr>
      <w:tblGrid>
        <w:gridCol w:w="5793"/>
        <w:gridCol w:w="1897"/>
        <w:gridCol w:w="1774"/>
      </w:tblGrid>
      <w:tr w:rsidR="00C2240C" w:rsidRPr="00C2240C" w14:paraId="3279ECD8" w14:textId="77777777" w:rsidTr="00685B9A">
        <w:trPr>
          <w:trHeight w:val="20"/>
          <w:tblHeader/>
        </w:trPr>
        <w:tc>
          <w:tcPr>
            <w:tcW w:w="3061" w:type="pct"/>
            <w:shd w:val="clear" w:color="auto" w:fill="035F1D"/>
          </w:tcPr>
          <w:p w14:paraId="3F6034BA" w14:textId="24E2C1AB" w:rsidR="00192A36" w:rsidRPr="00177C94" w:rsidRDefault="00192A36" w:rsidP="00192A36">
            <w:pPr>
              <w:pStyle w:val="FLSBody"/>
              <w:spacing w:before="0" w:after="0"/>
              <w:jc w:val="center"/>
              <w:rPr>
                <w:b/>
                <w:bCs/>
                <w:color w:val="E2E2E2"/>
                <w:sz w:val="28"/>
                <w:szCs w:val="24"/>
              </w:rPr>
            </w:pPr>
            <w:r w:rsidRPr="00177C94">
              <w:rPr>
                <w:b/>
                <w:bCs/>
                <w:color w:val="E2E2E2"/>
                <w:sz w:val="28"/>
                <w:szCs w:val="24"/>
              </w:rPr>
              <w:t>Species</w:t>
            </w:r>
          </w:p>
        </w:tc>
        <w:tc>
          <w:tcPr>
            <w:tcW w:w="1002" w:type="pct"/>
            <w:shd w:val="clear" w:color="auto" w:fill="035F1D"/>
          </w:tcPr>
          <w:p w14:paraId="68D392C4" w14:textId="09E7C138"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(Ha)</w:t>
            </w:r>
          </w:p>
        </w:tc>
        <w:tc>
          <w:tcPr>
            <w:tcW w:w="937" w:type="pct"/>
            <w:shd w:val="clear" w:color="auto" w:fill="035F1D"/>
          </w:tcPr>
          <w:p w14:paraId="17B2692F" w14:textId="713D7EC5"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w:t>
            </w:r>
          </w:p>
        </w:tc>
      </w:tr>
      <w:tr w:rsidR="00C2240C" w:rsidRPr="00C2240C" w14:paraId="066D2192" w14:textId="77777777" w:rsidTr="00685B9A">
        <w:trPr>
          <w:trHeight w:val="20"/>
        </w:trPr>
        <w:tc>
          <w:tcPr>
            <w:tcW w:w="3061" w:type="pct"/>
            <w:vAlign w:val="center"/>
          </w:tcPr>
          <w:p w14:paraId="0A7FD9DD" w14:textId="3F9FEE97" w:rsidR="00192A36" w:rsidRPr="003E70B1" w:rsidRDefault="00FD30DB" w:rsidP="00192A36">
            <w:pPr>
              <w:pStyle w:val="FLSBody"/>
              <w:spacing w:before="0" w:after="0"/>
              <w:jc w:val="center"/>
            </w:pPr>
            <w:r>
              <w:t>Sitka spruce</w:t>
            </w:r>
          </w:p>
        </w:tc>
        <w:tc>
          <w:tcPr>
            <w:tcW w:w="1002" w:type="pct"/>
            <w:vAlign w:val="center"/>
          </w:tcPr>
          <w:p w14:paraId="65D59A05" w14:textId="53F4AFFE" w:rsidR="00192A36" w:rsidRPr="003E70B1" w:rsidRDefault="00685B9A" w:rsidP="00192A36">
            <w:pPr>
              <w:pStyle w:val="FLSBody"/>
              <w:spacing w:before="0" w:after="0"/>
              <w:jc w:val="center"/>
            </w:pPr>
            <w:r>
              <w:t>186.8</w:t>
            </w:r>
          </w:p>
        </w:tc>
        <w:tc>
          <w:tcPr>
            <w:tcW w:w="937" w:type="pct"/>
            <w:vAlign w:val="center"/>
          </w:tcPr>
          <w:p w14:paraId="4E82AE7F" w14:textId="5F48459C" w:rsidR="00192A36" w:rsidRPr="003E70B1" w:rsidRDefault="00685B9A" w:rsidP="00192A36">
            <w:pPr>
              <w:pStyle w:val="FLSBody"/>
              <w:spacing w:before="0" w:after="0"/>
              <w:jc w:val="center"/>
            </w:pPr>
            <w:r>
              <w:t>33%</w:t>
            </w:r>
          </w:p>
        </w:tc>
      </w:tr>
      <w:tr w:rsidR="00C2240C" w:rsidRPr="00C2240C" w14:paraId="00B62709" w14:textId="77777777" w:rsidTr="00685B9A">
        <w:trPr>
          <w:trHeight w:val="20"/>
        </w:trPr>
        <w:tc>
          <w:tcPr>
            <w:tcW w:w="3061" w:type="pct"/>
            <w:shd w:val="clear" w:color="auto" w:fill="A5D1A0"/>
            <w:vAlign w:val="center"/>
          </w:tcPr>
          <w:p w14:paraId="23AD92F1" w14:textId="63A39684" w:rsidR="00192A36" w:rsidRPr="003E70B1" w:rsidRDefault="00FD30DB" w:rsidP="00192A36">
            <w:pPr>
              <w:pStyle w:val="FLSBody"/>
              <w:spacing w:before="0" w:after="0"/>
              <w:jc w:val="center"/>
            </w:pPr>
            <w:r>
              <w:t>Scots pine</w:t>
            </w:r>
          </w:p>
        </w:tc>
        <w:tc>
          <w:tcPr>
            <w:tcW w:w="1002" w:type="pct"/>
            <w:shd w:val="clear" w:color="auto" w:fill="A5D1A0"/>
            <w:vAlign w:val="center"/>
          </w:tcPr>
          <w:p w14:paraId="54EAE42B" w14:textId="73E41C37" w:rsidR="00192A36" w:rsidRPr="003E70B1" w:rsidRDefault="00685B9A" w:rsidP="00192A36">
            <w:pPr>
              <w:pStyle w:val="FLSBody"/>
              <w:spacing w:before="0" w:after="0"/>
              <w:jc w:val="center"/>
            </w:pPr>
            <w:r>
              <w:t>64.1</w:t>
            </w:r>
          </w:p>
        </w:tc>
        <w:tc>
          <w:tcPr>
            <w:tcW w:w="937" w:type="pct"/>
            <w:shd w:val="clear" w:color="auto" w:fill="A5D1A0"/>
            <w:vAlign w:val="center"/>
          </w:tcPr>
          <w:p w14:paraId="52401D70" w14:textId="6FFAB9F2" w:rsidR="00192A36" w:rsidRPr="003E70B1" w:rsidRDefault="00685B9A" w:rsidP="00192A36">
            <w:pPr>
              <w:pStyle w:val="FLSBody"/>
              <w:spacing w:before="0" w:after="0"/>
              <w:jc w:val="center"/>
            </w:pPr>
            <w:r>
              <w:t>11%</w:t>
            </w:r>
          </w:p>
        </w:tc>
      </w:tr>
      <w:tr w:rsidR="00C2240C" w:rsidRPr="00C2240C" w14:paraId="50F67AFC" w14:textId="77777777" w:rsidTr="00685B9A">
        <w:trPr>
          <w:trHeight w:val="20"/>
        </w:trPr>
        <w:tc>
          <w:tcPr>
            <w:tcW w:w="3061" w:type="pct"/>
            <w:vAlign w:val="center"/>
          </w:tcPr>
          <w:p w14:paraId="67043379" w14:textId="74F6525D" w:rsidR="00192A36" w:rsidRPr="003E70B1" w:rsidRDefault="00FD30DB" w:rsidP="00192A36">
            <w:pPr>
              <w:pStyle w:val="FLSBody"/>
              <w:spacing w:before="0" w:after="0"/>
              <w:jc w:val="center"/>
            </w:pPr>
            <w:r>
              <w:t>Norway spruce</w:t>
            </w:r>
          </w:p>
        </w:tc>
        <w:tc>
          <w:tcPr>
            <w:tcW w:w="1002" w:type="pct"/>
            <w:vAlign w:val="center"/>
          </w:tcPr>
          <w:p w14:paraId="2737936F" w14:textId="5BFD7A24" w:rsidR="00192A36" w:rsidRPr="003E70B1" w:rsidRDefault="00685B9A" w:rsidP="00192A36">
            <w:pPr>
              <w:pStyle w:val="FLSBody"/>
              <w:spacing w:before="0" w:after="0"/>
              <w:jc w:val="center"/>
            </w:pPr>
            <w:r>
              <w:t>47.9</w:t>
            </w:r>
          </w:p>
        </w:tc>
        <w:tc>
          <w:tcPr>
            <w:tcW w:w="937" w:type="pct"/>
            <w:vAlign w:val="center"/>
          </w:tcPr>
          <w:p w14:paraId="1A1FCC8A" w14:textId="57A7DADB" w:rsidR="00192A36" w:rsidRPr="003E70B1" w:rsidRDefault="00685B9A" w:rsidP="00192A36">
            <w:pPr>
              <w:pStyle w:val="FLSBody"/>
              <w:spacing w:before="0" w:after="0"/>
              <w:jc w:val="center"/>
            </w:pPr>
            <w:r>
              <w:t>8%</w:t>
            </w:r>
          </w:p>
        </w:tc>
      </w:tr>
      <w:tr w:rsidR="00C2240C" w:rsidRPr="00C2240C" w14:paraId="1F9D2D25" w14:textId="77777777" w:rsidTr="00685B9A">
        <w:trPr>
          <w:trHeight w:val="20"/>
        </w:trPr>
        <w:tc>
          <w:tcPr>
            <w:tcW w:w="3061" w:type="pct"/>
            <w:shd w:val="clear" w:color="auto" w:fill="A5D1A0"/>
            <w:vAlign w:val="center"/>
          </w:tcPr>
          <w:p w14:paraId="1AD8FFDF" w14:textId="59CE378C" w:rsidR="00192A36" w:rsidRPr="003E70B1" w:rsidRDefault="0084233C" w:rsidP="00192A36">
            <w:pPr>
              <w:pStyle w:val="FLSBody"/>
              <w:spacing w:before="0" w:after="0"/>
              <w:jc w:val="center"/>
            </w:pPr>
            <w:r>
              <w:t>Larch</w:t>
            </w:r>
          </w:p>
        </w:tc>
        <w:tc>
          <w:tcPr>
            <w:tcW w:w="1002" w:type="pct"/>
            <w:shd w:val="clear" w:color="auto" w:fill="A5D1A0"/>
            <w:vAlign w:val="center"/>
          </w:tcPr>
          <w:p w14:paraId="11DCDE30" w14:textId="637990B9" w:rsidR="00192A36" w:rsidRPr="003E70B1" w:rsidRDefault="00685B9A" w:rsidP="00192A36">
            <w:pPr>
              <w:pStyle w:val="FLSBody"/>
              <w:spacing w:before="0" w:after="0"/>
              <w:jc w:val="center"/>
            </w:pPr>
            <w:r>
              <w:t>33.4</w:t>
            </w:r>
          </w:p>
        </w:tc>
        <w:tc>
          <w:tcPr>
            <w:tcW w:w="937" w:type="pct"/>
            <w:shd w:val="clear" w:color="auto" w:fill="A5D1A0"/>
            <w:vAlign w:val="center"/>
          </w:tcPr>
          <w:p w14:paraId="6144988C" w14:textId="25981D4A" w:rsidR="00192A36" w:rsidRPr="003E70B1" w:rsidRDefault="00685B9A" w:rsidP="00192A36">
            <w:pPr>
              <w:pStyle w:val="FLSBody"/>
              <w:spacing w:before="0" w:after="0"/>
              <w:jc w:val="center"/>
            </w:pPr>
            <w:r>
              <w:t>6%</w:t>
            </w:r>
          </w:p>
        </w:tc>
      </w:tr>
      <w:tr w:rsidR="0084233C" w:rsidRPr="00C2240C" w14:paraId="0D99B85B" w14:textId="77777777" w:rsidTr="00685B9A">
        <w:trPr>
          <w:trHeight w:val="20"/>
        </w:trPr>
        <w:tc>
          <w:tcPr>
            <w:tcW w:w="3061" w:type="pct"/>
            <w:vAlign w:val="center"/>
          </w:tcPr>
          <w:p w14:paraId="6BD9A8B3" w14:textId="75E8641C" w:rsidR="0084233C" w:rsidRPr="003E70B1" w:rsidRDefault="0084233C" w:rsidP="0084233C">
            <w:pPr>
              <w:pStyle w:val="FLSBody"/>
              <w:spacing w:before="0" w:after="0"/>
              <w:jc w:val="center"/>
            </w:pPr>
            <w:r>
              <w:t>Lodgepole pine</w:t>
            </w:r>
          </w:p>
        </w:tc>
        <w:tc>
          <w:tcPr>
            <w:tcW w:w="1002" w:type="pct"/>
            <w:vAlign w:val="center"/>
          </w:tcPr>
          <w:p w14:paraId="1829C714" w14:textId="6A1C5160" w:rsidR="0084233C" w:rsidRPr="003E70B1" w:rsidRDefault="00685B9A" w:rsidP="0084233C">
            <w:pPr>
              <w:pStyle w:val="FLSBody"/>
              <w:spacing w:before="0" w:after="0"/>
              <w:jc w:val="center"/>
            </w:pPr>
            <w:r>
              <w:t>33.4</w:t>
            </w:r>
          </w:p>
        </w:tc>
        <w:tc>
          <w:tcPr>
            <w:tcW w:w="937" w:type="pct"/>
            <w:vAlign w:val="center"/>
          </w:tcPr>
          <w:p w14:paraId="15C6FB0C" w14:textId="4AF10F2A" w:rsidR="0084233C" w:rsidRPr="003E70B1" w:rsidRDefault="00685B9A" w:rsidP="0084233C">
            <w:pPr>
              <w:pStyle w:val="FLSBody"/>
              <w:spacing w:before="0" w:after="0"/>
              <w:jc w:val="center"/>
            </w:pPr>
            <w:r>
              <w:t>6%</w:t>
            </w:r>
          </w:p>
        </w:tc>
      </w:tr>
      <w:tr w:rsidR="0084233C" w:rsidRPr="00C2240C" w14:paraId="2FAEFD46" w14:textId="77777777" w:rsidTr="00685B9A">
        <w:trPr>
          <w:trHeight w:val="20"/>
        </w:trPr>
        <w:tc>
          <w:tcPr>
            <w:tcW w:w="3061" w:type="pct"/>
            <w:shd w:val="clear" w:color="auto" w:fill="A5D1A0"/>
            <w:vAlign w:val="center"/>
          </w:tcPr>
          <w:p w14:paraId="5D4228FD" w14:textId="6E0AC3A6" w:rsidR="0084233C" w:rsidRPr="003E70B1" w:rsidRDefault="00685B9A" w:rsidP="0084233C">
            <w:pPr>
              <w:pStyle w:val="FLSBody"/>
              <w:spacing w:before="0" w:after="0"/>
              <w:jc w:val="center"/>
            </w:pPr>
            <w:r>
              <w:t>Mixed Broadleaves</w:t>
            </w:r>
          </w:p>
        </w:tc>
        <w:tc>
          <w:tcPr>
            <w:tcW w:w="1002" w:type="pct"/>
            <w:shd w:val="clear" w:color="auto" w:fill="A5D1A0"/>
            <w:vAlign w:val="center"/>
          </w:tcPr>
          <w:p w14:paraId="4E2B5903" w14:textId="1C1135B5" w:rsidR="0084233C" w:rsidRPr="003E70B1" w:rsidRDefault="00685B9A" w:rsidP="0084233C">
            <w:pPr>
              <w:pStyle w:val="FLSBody"/>
              <w:spacing w:before="0" w:after="0"/>
              <w:jc w:val="center"/>
            </w:pPr>
            <w:r>
              <w:t>18.4</w:t>
            </w:r>
          </w:p>
        </w:tc>
        <w:tc>
          <w:tcPr>
            <w:tcW w:w="937" w:type="pct"/>
            <w:shd w:val="clear" w:color="auto" w:fill="A5D1A0"/>
            <w:vAlign w:val="center"/>
          </w:tcPr>
          <w:p w14:paraId="70029F87" w14:textId="481471AD" w:rsidR="0084233C" w:rsidRPr="003E70B1" w:rsidRDefault="00685B9A" w:rsidP="0084233C">
            <w:pPr>
              <w:pStyle w:val="FLSBody"/>
              <w:spacing w:before="0" w:after="0"/>
              <w:jc w:val="center"/>
            </w:pPr>
            <w:r>
              <w:t>3%</w:t>
            </w:r>
          </w:p>
        </w:tc>
      </w:tr>
      <w:tr w:rsidR="0084233C" w:rsidRPr="00C2240C" w14:paraId="575BA2A3" w14:textId="77777777" w:rsidTr="00685B9A">
        <w:trPr>
          <w:trHeight w:val="20"/>
        </w:trPr>
        <w:tc>
          <w:tcPr>
            <w:tcW w:w="3061" w:type="pct"/>
            <w:shd w:val="clear" w:color="auto" w:fill="auto"/>
            <w:vAlign w:val="center"/>
          </w:tcPr>
          <w:p w14:paraId="11171498" w14:textId="4300B430" w:rsidR="0084233C" w:rsidRPr="003E70B1" w:rsidRDefault="00685B9A" w:rsidP="0084233C">
            <w:pPr>
              <w:pStyle w:val="FLSBody"/>
              <w:spacing w:before="0" w:after="0"/>
              <w:jc w:val="center"/>
            </w:pPr>
            <w:r>
              <w:t>Mixed Conifer</w:t>
            </w:r>
            <w:r>
              <w:t>s</w:t>
            </w:r>
          </w:p>
        </w:tc>
        <w:tc>
          <w:tcPr>
            <w:tcW w:w="1002" w:type="pct"/>
            <w:shd w:val="clear" w:color="auto" w:fill="auto"/>
            <w:vAlign w:val="center"/>
          </w:tcPr>
          <w:p w14:paraId="3D7DC849" w14:textId="0532556A" w:rsidR="0084233C" w:rsidRPr="003E70B1" w:rsidRDefault="00685B9A" w:rsidP="0084233C">
            <w:pPr>
              <w:pStyle w:val="FLSBody"/>
              <w:spacing w:before="0" w:after="0"/>
              <w:jc w:val="center"/>
            </w:pPr>
            <w:r>
              <w:t>7.1</w:t>
            </w:r>
          </w:p>
        </w:tc>
        <w:tc>
          <w:tcPr>
            <w:tcW w:w="937" w:type="pct"/>
            <w:shd w:val="clear" w:color="auto" w:fill="auto"/>
            <w:vAlign w:val="center"/>
          </w:tcPr>
          <w:p w14:paraId="1D7973C9" w14:textId="3A681E19" w:rsidR="0084233C" w:rsidRPr="003E70B1" w:rsidRDefault="00685B9A" w:rsidP="0084233C">
            <w:pPr>
              <w:pStyle w:val="FLSBody"/>
              <w:spacing w:before="0" w:after="0"/>
              <w:jc w:val="center"/>
            </w:pPr>
            <w:r>
              <w:t>1%</w:t>
            </w:r>
          </w:p>
        </w:tc>
      </w:tr>
      <w:tr w:rsidR="00685B9A" w:rsidRPr="00C2240C" w14:paraId="0AE76D89" w14:textId="77777777" w:rsidTr="00685B9A">
        <w:trPr>
          <w:trHeight w:val="20"/>
        </w:trPr>
        <w:tc>
          <w:tcPr>
            <w:tcW w:w="3061" w:type="pct"/>
            <w:shd w:val="clear" w:color="auto" w:fill="A5D1A0"/>
            <w:vAlign w:val="center"/>
          </w:tcPr>
          <w:p w14:paraId="150A3EBE" w14:textId="5C0577B9" w:rsidR="00685B9A" w:rsidRPr="003E70B1" w:rsidRDefault="00685B9A" w:rsidP="0084233C">
            <w:pPr>
              <w:pStyle w:val="FLSBody"/>
              <w:spacing w:before="0" w:after="0"/>
              <w:jc w:val="center"/>
            </w:pPr>
            <w:r>
              <w:t>Open Space</w:t>
            </w:r>
          </w:p>
        </w:tc>
        <w:tc>
          <w:tcPr>
            <w:tcW w:w="1002" w:type="pct"/>
            <w:shd w:val="clear" w:color="auto" w:fill="A5D1A0"/>
            <w:vAlign w:val="center"/>
          </w:tcPr>
          <w:p w14:paraId="4515B93E" w14:textId="5B7CAD45" w:rsidR="00685B9A" w:rsidRPr="003E70B1" w:rsidRDefault="00685B9A" w:rsidP="0084233C">
            <w:pPr>
              <w:pStyle w:val="FLSBody"/>
              <w:spacing w:before="0" w:after="0"/>
              <w:jc w:val="center"/>
            </w:pPr>
            <w:r>
              <w:t>66</w:t>
            </w:r>
          </w:p>
        </w:tc>
        <w:tc>
          <w:tcPr>
            <w:tcW w:w="937" w:type="pct"/>
            <w:shd w:val="clear" w:color="auto" w:fill="A5D1A0"/>
            <w:vAlign w:val="center"/>
          </w:tcPr>
          <w:p w14:paraId="6D705E88" w14:textId="6DA26807" w:rsidR="00685B9A" w:rsidRPr="003E70B1" w:rsidRDefault="00685B9A" w:rsidP="0084233C">
            <w:pPr>
              <w:pStyle w:val="FLSBody"/>
              <w:spacing w:before="0" w:after="0"/>
              <w:jc w:val="center"/>
            </w:pPr>
            <w:r>
              <w:t>12%</w:t>
            </w:r>
          </w:p>
        </w:tc>
      </w:tr>
      <w:tr w:rsidR="00685B9A" w:rsidRPr="00C2240C" w14:paraId="172200FB" w14:textId="77777777" w:rsidTr="00685B9A">
        <w:trPr>
          <w:trHeight w:val="20"/>
        </w:trPr>
        <w:tc>
          <w:tcPr>
            <w:tcW w:w="3061" w:type="pct"/>
            <w:shd w:val="clear" w:color="auto" w:fill="auto"/>
            <w:vAlign w:val="center"/>
          </w:tcPr>
          <w:p w14:paraId="20ADF0ED" w14:textId="4A8C7BE0" w:rsidR="00685B9A" w:rsidRPr="003E70B1" w:rsidRDefault="00685B9A" w:rsidP="0084233C">
            <w:pPr>
              <w:pStyle w:val="FLSBody"/>
              <w:spacing w:before="0" w:after="0"/>
              <w:jc w:val="center"/>
            </w:pPr>
            <w:r>
              <w:t>Felled awaiting restock</w:t>
            </w:r>
          </w:p>
        </w:tc>
        <w:tc>
          <w:tcPr>
            <w:tcW w:w="1002" w:type="pct"/>
            <w:shd w:val="clear" w:color="auto" w:fill="auto"/>
            <w:vAlign w:val="center"/>
          </w:tcPr>
          <w:p w14:paraId="4C007FC6" w14:textId="5D6E8968" w:rsidR="00685B9A" w:rsidRPr="003E70B1" w:rsidRDefault="00685B9A" w:rsidP="0084233C">
            <w:pPr>
              <w:pStyle w:val="FLSBody"/>
              <w:spacing w:before="0" w:after="0"/>
              <w:jc w:val="center"/>
            </w:pPr>
            <w:r>
              <w:t>115</w:t>
            </w:r>
          </w:p>
        </w:tc>
        <w:tc>
          <w:tcPr>
            <w:tcW w:w="937" w:type="pct"/>
            <w:shd w:val="clear" w:color="auto" w:fill="auto"/>
            <w:vAlign w:val="center"/>
          </w:tcPr>
          <w:p w14:paraId="4A32BA4D" w14:textId="0FA1CC61" w:rsidR="00685B9A" w:rsidRPr="003E70B1" w:rsidRDefault="00685B9A" w:rsidP="0084233C">
            <w:pPr>
              <w:pStyle w:val="FLSBody"/>
              <w:spacing w:before="0" w:after="0"/>
              <w:jc w:val="center"/>
            </w:pPr>
            <w:r>
              <w:t>20%</w:t>
            </w:r>
          </w:p>
        </w:tc>
      </w:tr>
      <w:tr w:rsidR="00685B9A" w:rsidRPr="00C2240C" w14:paraId="5C286077" w14:textId="77777777" w:rsidTr="00685B9A">
        <w:trPr>
          <w:trHeight w:val="20"/>
        </w:trPr>
        <w:tc>
          <w:tcPr>
            <w:tcW w:w="3061" w:type="pct"/>
            <w:shd w:val="clear" w:color="auto" w:fill="035F1D"/>
            <w:vAlign w:val="center"/>
          </w:tcPr>
          <w:p w14:paraId="6D51F7E7" w14:textId="0A790ED4" w:rsidR="00685B9A" w:rsidRPr="003E70B1" w:rsidRDefault="00685B9A" w:rsidP="0084233C">
            <w:pPr>
              <w:pStyle w:val="FLSBody"/>
              <w:spacing w:before="0" w:after="0"/>
              <w:jc w:val="center"/>
            </w:pPr>
            <w:r w:rsidRPr="00177C94">
              <w:rPr>
                <w:rStyle w:val="Strong"/>
                <w:color w:val="E2E2E2"/>
              </w:rPr>
              <w:t>Total</w:t>
            </w:r>
          </w:p>
        </w:tc>
        <w:tc>
          <w:tcPr>
            <w:tcW w:w="1002" w:type="pct"/>
            <w:shd w:val="clear" w:color="auto" w:fill="035F1D"/>
            <w:vAlign w:val="center"/>
          </w:tcPr>
          <w:p w14:paraId="7CA04EA0" w14:textId="2F0E357C" w:rsidR="00685B9A" w:rsidRPr="00685B9A" w:rsidRDefault="00685B9A" w:rsidP="0084233C">
            <w:pPr>
              <w:pStyle w:val="FLSBody"/>
              <w:spacing w:before="0" w:after="0"/>
              <w:jc w:val="center"/>
              <w:rPr>
                <w:b/>
                <w:bCs/>
              </w:rPr>
            </w:pPr>
            <w:r w:rsidRPr="00685B9A">
              <w:rPr>
                <w:b/>
                <w:bCs/>
                <w:color w:val="FFFFFF" w:themeColor="background1"/>
              </w:rPr>
              <w:t>572.1</w:t>
            </w:r>
          </w:p>
        </w:tc>
        <w:tc>
          <w:tcPr>
            <w:tcW w:w="937" w:type="pct"/>
            <w:shd w:val="clear" w:color="auto" w:fill="035F1D"/>
            <w:vAlign w:val="center"/>
          </w:tcPr>
          <w:p w14:paraId="2CF55E1E" w14:textId="613A954F" w:rsidR="00685B9A" w:rsidRPr="00685B9A" w:rsidRDefault="00685B9A" w:rsidP="0084233C">
            <w:pPr>
              <w:pStyle w:val="FLSBody"/>
              <w:spacing w:before="0" w:after="0"/>
              <w:jc w:val="center"/>
              <w:rPr>
                <w:b/>
                <w:bCs/>
              </w:rPr>
            </w:pPr>
            <w:r w:rsidRPr="00685B9A">
              <w:rPr>
                <w:b/>
                <w:bCs/>
                <w:color w:val="FAFAFA"/>
              </w:rPr>
              <w:t>100</w:t>
            </w:r>
          </w:p>
        </w:tc>
      </w:tr>
    </w:tbl>
    <w:p w14:paraId="480BCCF5" w14:textId="77777777" w:rsidR="00192A36" w:rsidRPr="00C2240C" w:rsidRDefault="00192A36" w:rsidP="00B65262">
      <w:pPr>
        <w:rPr>
          <w:color w:val="FF0000"/>
        </w:rPr>
      </w:pPr>
    </w:p>
    <w:p w14:paraId="02EE5641" w14:textId="73F8560A" w:rsidR="003F2973" w:rsidRPr="00C2240C" w:rsidRDefault="000525CB" w:rsidP="00177C94">
      <w:pPr>
        <w:pStyle w:val="FLSHeading3"/>
        <w:rPr>
          <w:color w:val="FF0000"/>
        </w:rPr>
      </w:pPr>
      <w:r w:rsidRPr="0025390E">
        <w:t>Hydrology</w:t>
      </w:r>
      <w:r w:rsidRPr="00C2240C">
        <w:rPr>
          <w:color w:val="FF0000"/>
        </w:rPr>
        <w:t xml:space="preserve"> </w:t>
      </w:r>
    </w:p>
    <w:p w14:paraId="25BF7620" w14:textId="70C85E0A" w:rsidR="00AE5DCE" w:rsidRPr="00AE5DCE" w:rsidRDefault="00685B9A" w:rsidP="00AE5DCE">
      <w:pPr>
        <w:pStyle w:val="FLSBody"/>
      </w:pPr>
      <w:proofErr w:type="spellStart"/>
      <w:r>
        <w:t>Midmar</w:t>
      </w:r>
      <w:proofErr w:type="spellEnd"/>
      <w:r w:rsidR="00AE5DCE" w:rsidRPr="00AE5DCE">
        <w:t xml:space="preserve"> include</w:t>
      </w:r>
      <w:r w:rsidR="00AE5DCE">
        <w:t>s</w:t>
      </w:r>
      <w:r w:rsidR="00AE5DCE" w:rsidRPr="00AE5DCE">
        <w:t xml:space="preserve"> the sources of several small watercourses. </w:t>
      </w:r>
      <w:r>
        <w:t xml:space="preserve">Most of these </w:t>
      </w:r>
      <w:proofErr w:type="gramStart"/>
      <w:r>
        <w:t>streams</w:t>
      </w:r>
      <w:proofErr w:type="gramEnd"/>
      <w:r>
        <w:t xml:space="preserve"> flow to the north-east and eventually reach the River Don</w:t>
      </w:r>
    </w:p>
    <w:p w14:paraId="3D236AE3" w14:textId="394AD585" w:rsidR="00AE5DCE" w:rsidRPr="00AE5DCE" w:rsidRDefault="00AE5DCE" w:rsidP="00AE5DCE">
      <w:pPr>
        <w:pStyle w:val="FLSBody"/>
      </w:pPr>
      <w:r w:rsidRPr="00AE5DCE">
        <w:t>Because these streams are small</w:t>
      </w:r>
      <w:r>
        <w:t xml:space="preserve"> and make up a tiny percentage of the broader catchments</w:t>
      </w:r>
      <w:r w:rsidRPr="00AE5DCE">
        <w:t xml:space="preserve">, they’re unlikely to </w:t>
      </w:r>
      <w:r w:rsidR="00B039B6">
        <w:t>have a major impact on</w:t>
      </w:r>
      <w:r w:rsidRPr="00AE5DCE">
        <w:t xml:space="preserve"> the wider river systems. But we’ll still take care to protect water quality during any forest</w:t>
      </w:r>
      <w:r w:rsidR="00B039B6">
        <w:t>ry</w:t>
      </w:r>
      <w:r w:rsidRPr="00AE5DCE">
        <w:t xml:space="preserve"> work.</w:t>
      </w:r>
    </w:p>
    <w:p w14:paraId="6B15ACA5" w14:textId="58551D34" w:rsidR="001332FE" w:rsidRPr="00C2240C" w:rsidRDefault="001332FE" w:rsidP="00177C94">
      <w:pPr>
        <w:pStyle w:val="FLSHeading3"/>
      </w:pPr>
      <w:r w:rsidRPr="00C2240C">
        <w:t>Private Water Supplies and Associated Pipelines</w:t>
      </w:r>
    </w:p>
    <w:p w14:paraId="4989215D" w14:textId="79F2151A" w:rsidR="00AE5DCE" w:rsidRDefault="00AE5DCE" w:rsidP="00AE5DCE">
      <w:pPr>
        <w:pStyle w:val="FLSBody"/>
        <w:rPr>
          <w:lang w:val="en-GB"/>
        </w:rPr>
      </w:pPr>
      <w:r w:rsidRPr="00AE5DCE">
        <w:rPr>
          <w:lang w:val="en-GB"/>
        </w:rPr>
        <w:t>There are private water supplies (PWS) in the forest</w:t>
      </w:r>
      <w:r w:rsidR="0068427C">
        <w:rPr>
          <w:lang w:val="en-GB"/>
        </w:rPr>
        <w:t xml:space="preserve"> and on nearby land</w:t>
      </w:r>
      <w:r w:rsidRPr="00AE5DCE">
        <w:rPr>
          <w:lang w:val="en-GB"/>
        </w:rPr>
        <w:t xml:space="preserve">. </w:t>
      </w:r>
    </w:p>
    <w:p w14:paraId="2CD1D011" w14:textId="77777777" w:rsidR="00AE5DCE" w:rsidRDefault="00AE5DCE" w:rsidP="00AE5DCE">
      <w:pPr>
        <w:pStyle w:val="FLSBody"/>
        <w:rPr>
          <w:lang w:val="en-GB"/>
        </w:rPr>
      </w:pPr>
      <w:r w:rsidRPr="00AE5DCE">
        <w:rPr>
          <w:lang w:val="en-GB"/>
        </w:rPr>
        <w:t>PWS users are responsible for looking after their own supply. But where FLS manages the land, we also share the duty to protect water sources and supply networks like pipes, tanks and channels.</w:t>
      </w:r>
    </w:p>
    <w:p w14:paraId="0827E981" w14:textId="77777777" w:rsidR="00AE5DCE" w:rsidRDefault="00AE5DCE" w:rsidP="00AE5DCE">
      <w:pPr>
        <w:pStyle w:val="FLSBody"/>
        <w:rPr>
          <w:lang w:val="en-GB"/>
        </w:rPr>
      </w:pPr>
      <w:r w:rsidRPr="00AE5DCE">
        <w:rPr>
          <w:lang w:val="en-GB"/>
        </w:rPr>
        <w:t>We’ll follow national water guidance. This means a 50-metre buffer around water sources, and a 20-metre buffer (10 metres each side) for pipelines. These buffers will be kept open, though we may include up to 20% native broadleaves.</w:t>
      </w:r>
    </w:p>
    <w:p w14:paraId="4423F92E" w14:textId="0E556A63" w:rsidR="002211E4" w:rsidRDefault="00AE5DCE" w:rsidP="00AE5DCE">
      <w:pPr>
        <w:pStyle w:val="FLSBody"/>
        <w:rPr>
          <w:lang w:val="en-GB"/>
        </w:rPr>
      </w:pPr>
      <w:r w:rsidRPr="00AE5DCE">
        <w:rPr>
          <w:lang w:val="en-GB"/>
        </w:rPr>
        <w:t>If a water source is shallow or surface-fed, we’ll map the catchment, avoid</w:t>
      </w:r>
      <w:r>
        <w:rPr>
          <w:lang w:val="en-GB"/>
        </w:rPr>
        <w:t xml:space="preserve"> using</w:t>
      </w:r>
      <w:r w:rsidRPr="00AE5DCE">
        <w:rPr>
          <w:lang w:val="en-GB"/>
        </w:rPr>
        <w:t xml:space="preserve"> heavy machinery</w:t>
      </w:r>
      <w:r>
        <w:rPr>
          <w:lang w:val="en-GB"/>
        </w:rPr>
        <w:t xml:space="preserve"> nearby</w:t>
      </w:r>
      <w:r w:rsidRPr="00AE5DCE">
        <w:rPr>
          <w:lang w:val="en-GB"/>
        </w:rPr>
        <w:t>, and manage brash heaps with care.</w:t>
      </w:r>
    </w:p>
    <w:p w14:paraId="31270366" w14:textId="3707BE6D" w:rsidR="00A5386D" w:rsidRDefault="00F00133" w:rsidP="00177C94">
      <w:pPr>
        <w:pStyle w:val="FLSHeading3"/>
      </w:pPr>
      <w:r w:rsidRPr="00F00133">
        <w:t>Public Access and Recreation</w:t>
      </w:r>
    </w:p>
    <w:p w14:paraId="37957604" w14:textId="4325EF81" w:rsidR="00AE5DCE" w:rsidRPr="00AE5DCE" w:rsidRDefault="00AE5DCE" w:rsidP="00AE5DCE">
      <w:pPr>
        <w:pStyle w:val="FLSBody"/>
      </w:pPr>
      <w:r w:rsidRPr="00AE5DCE">
        <w:t>The area isn’t a recreation hub, but people do use the forest tracks for walking, cycling and horse riding.</w:t>
      </w:r>
      <w:r w:rsidR="00796EA5">
        <w:t xml:space="preserve"> The forest is frequently used by local dog walkers and there are several informal downhill mountain bike routes present</w:t>
      </w:r>
      <w:r w:rsidRPr="00AE5DCE">
        <w:t>.</w:t>
      </w:r>
    </w:p>
    <w:p w14:paraId="7BDD526A" w14:textId="77777777" w:rsidR="00AE5DCE" w:rsidRPr="00AE5DCE" w:rsidRDefault="00AE5DCE" w:rsidP="00AE5DCE">
      <w:pPr>
        <w:pStyle w:val="FLSBody"/>
      </w:pPr>
      <w:r w:rsidRPr="00AE5DCE">
        <w:t>We’ll continue to support public access under the Scottish Outdoor Access Code.</w:t>
      </w:r>
    </w:p>
    <w:p w14:paraId="497B5A5F" w14:textId="77777777" w:rsidR="00EC4CA0" w:rsidRDefault="00EC4CA0">
      <w:pPr>
        <w:rPr>
          <w:bCs/>
          <w:color w:val="005E00"/>
          <w:sz w:val="44"/>
          <w:lang w:val="en-GB"/>
        </w:rPr>
      </w:pPr>
      <w:r>
        <w:br w:type="page"/>
      </w:r>
    </w:p>
    <w:p w14:paraId="404F3A44" w14:textId="0F8A58BF" w:rsidR="00A5386D" w:rsidRDefault="00A5386D" w:rsidP="00177C94">
      <w:pPr>
        <w:pStyle w:val="FLSHeading3"/>
      </w:pPr>
      <w:r>
        <w:lastRenderedPageBreak/>
        <w:t xml:space="preserve">Historic Environment </w:t>
      </w:r>
    </w:p>
    <w:p w14:paraId="101CBCA7" w14:textId="1F05F833" w:rsidR="00AE5DCE" w:rsidRPr="00AE5DCE" w:rsidRDefault="00AE5DCE" w:rsidP="00AE5DCE">
      <w:pPr>
        <w:pStyle w:val="FLSBody"/>
      </w:pPr>
      <w:r w:rsidRPr="00AE5DCE">
        <w:t xml:space="preserve">There aren’t any scheduled monuments in the </w:t>
      </w:r>
      <w:proofErr w:type="gramStart"/>
      <w:r w:rsidR="0068427C">
        <w:t>plan</w:t>
      </w:r>
      <w:proofErr w:type="gramEnd"/>
      <w:r w:rsidR="0068427C">
        <w:t xml:space="preserve"> </w:t>
      </w:r>
      <w:r w:rsidRPr="00AE5DCE">
        <w:t xml:space="preserve">area, but we’ve identified old </w:t>
      </w:r>
      <w:r w:rsidR="0068427C">
        <w:t xml:space="preserve">dry-stone walls, boundary stones and cairns. </w:t>
      </w:r>
      <w:r w:rsidRPr="00AE5DCE">
        <w:t>We’ll protect these features using site buffers and careful operational planning.</w:t>
      </w:r>
    </w:p>
    <w:p w14:paraId="7DE9EBBD" w14:textId="25823CA0" w:rsidR="00A5386D" w:rsidRDefault="00A5386D" w:rsidP="00177C94">
      <w:pPr>
        <w:pStyle w:val="FLSHeading3"/>
      </w:pPr>
      <w:r>
        <w:t xml:space="preserve">Biodiversity </w:t>
      </w:r>
    </w:p>
    <w:p w14:paraId="770C8574" w14:textId="77777777" w:rsidR="00AE5DCE" w:rsidRPr="00AE5DCE" w:rsidRDefault="00AE5DCE" w:rsidP="00AE5DCE">
      <w:pPr>
        <w:pStyle w:val="FLSBody"/>
        <w:rPr>
          <w:lang w:val="en-GB"/>
        </w:rPr>
      </w:pPr>
      <w:r w:rsidRPr="00AE5DCE">
        <w:rPr>
          <w:lang w:val="en-GB"/>
        </w:rPr>
        <w:t>We’re supporting the Scottish Biodiversity Strategy by:</w:t>
      </w:r>
    </w:p>
    <w:p w14:paraId="3668BAD6" w14:textId="77777777" w:rsidR="00AE5DCE" w:rsidRPr="00AE5DCE" w:rsidRDefault="00AE5DCE" w:rsidP="00AE5DCE">
      <w:pPr>
        <w:pStyle w:val="FLSBullets"/>
      </w:pPr>
      <w:r w:rsidRPr="00AE5DCE">
        <w:t>helping forests regenerate naturally</w:t>
      </w:r>
    </w:p>
    <w:p w14:paraId="6AD47BC8" w14:textId="77777777" w:rsidR="00AE5DCE" w:rsidRPr="00AE5DCE" w:rsidRDefault="00AE5DCE" w:rsidP="00AE5DCE">
      <w:pPr>
        <w:pStyle w:val="FLSBullets"/>
      </w:pPr>
      <w:r w:rsidRPr="00AE5DCE">
        <w:t>planting a wider mix of tree species</w:t>
      </w:r>
    </w:p>
    <w:p w14:paraId="749D91E7" w14:textId="77777777" w:rsidR="00AE5DCE" w:rsidRPr="00AE5DCE" w:rsidRDefault="00AE5DCE" w:rsidP="00AE5DCE">
      <w:pPr>
        <w:pStyle w:val="FLSBullets"/>
      </w:pPr>
      <w:r w:rsidRPr="00AE5DCE">
        <w:t>improving woodland cover and understorey</w:t>
      </w:r>
    </w:p>
    <w:p w14:paraId="5BF33AA2" w14:textId="77777777" w:rsidR="00AE5DCE" w:rsidRPr="00AE5DCE" w:rsidRDefault="00AE5DCE" w:rsidP="00AE5DCE">
      <w:pPr>
        <w:pStyle w:val="FLSBullets"/>
      </w:pPr>
      <w:r w:rsidRPr="00AE5DCE">
        <w:t>connecting forest habitats and other land uses</w:t>
      </w:r>
    </w:p>
    <w:p w14:paraId="1D1D5276" w14:textId="77777777" w:rsidR="00AE5DCE" w:rsidRPr="00AE5DCE" w:rsidRDefault="00AE5DCE" w:rsidP="00AE5DCE">
      <w:pPr>
        <w:pStyle w:val="FLSBody"/>
        <w:rPr>
          <w:lang w:val="en-GB"/>
        </w:rPr>
      </w:pPr>
      <w:r w:rsidRPr="00AE5DCE">
        <w:rPr>
          <w:lang w:val="en-GB"/>
        </w:rPr>
        <w:t>Our forests need to stay productive and continue storing carbon. But we’ll also design and manage them in ways that improve biodiversity and help wildlife move through the landscape.</w:t>
      </w:r>
    </w:p>
    <w:p w14:paraId="08F14B24" w14:textId="77777777" w:rsidR="00AE5DCE" w:rsidRPr="00AE5DCE" w:rsidRDefault="00AE5DCE" w:rsidP="00AE5DCE">
      <w:pPr>
        <w:pStyle w:val="FLSBody"/>
        <w:rPr>
          <w:lang w:val="en-GB"/>
        </w:rPr>
      </w:pPr>
      <w:r w:rsidRPr="00AE5DCE">
        <w:rPr>
          <w:lang w:val="en-GB"/>
        </w:rPr>
        <w:t>We’ve recorded several Biodiversity List species and FLS Key Species across the plan area. These include:</w:t>
      </w:r>
    </w:p>
    <w:p w14:paraId="2BDC687D" w14:textId="0A30E170" w:rsidR="00AE5DCE" w:rsidRPr="00AE5DCE" w:rsidRDefault="00AE5DCE" w:rsidP="00AE5DCE">
      <w:pPr>
        <w:pStyle w:val="FLSBullets"/>
      </w:pPr>
      <w:r w:rsidRPr="00AE5DCE">
        <w:t xml:space="preserve">birds of prey </w:t>
      </w:r>
    </w:p>
    <w:p w14:paraId="41A15708" w14:textId="5A5F0432" w:rsidR="00AE5DCE" w:rsidRPr="00AE5DCE" w:rsidRDefault="00AE5DCE" w:rsidP="00AE5DCE">
      <w:pPr>
        <w:pStyle w:val="FLSBullets"/>
      </w:pPr>
      <w:r w:rsidRPr="00AE5DCE">
        <w:t>red squirrels</w:t>
      </w:r>
      <w:r w:rsidR="00007776">
        <w:t>,</w:t>
      </w:r>
      <w:r w:rsidRPr="00AE5DCE">
        <w:t xml:space="preserve"> pine martens, found throughout the forest</w:t>
      </w:r>
    </w:p>
    <w:p w14:paraId="374EFFF7" w14:textId="77777777" w:rsidR="00BC7D49" w:rsidRDefault="00AE5DCE" w:rsidP="00AE5DCE">
      <w:pPr>
        <w:pStyle w:val="FLSBullets"/>
      </w:pPr>
      <w:r w:rsidRPr="00AE5DCE">
        <w:t>badger setts</w:t>
      </w:r>
    </w:p>
    <w:p w14:paraId="492AC363" w14:textId="597E5C24" w:rsidR="00007776" w:rsidRDefault="00007776" w:rsidP="00AE5DCE">
      <w:pPr>
        <w:pStyle w:val="FLSBullets"/>
      </w:pPr>
      <w:r>
        <w:t>rare plants</w:t>
      </w:r>
    </w:p>
    <w:p w14:paraId="65949CA7" w14:textId="44E8F014" w:rsidR="00AE5DCE" w:rsidRPr="00AE5DCE" w:rsidRDefault="00AE5DCE" w:rsidP="00AE5DCE">
      <w:pPr>
        <w:pStyle w:val="FLSBullets"/>
      </w:pPr>
      <w:r w:rsidRPr="00AE5DCE">
        <w:t>areas of afforested bog</w:t>
      </w:r>
    </w:p>
    <w:p w14:paraId="114AAF34" w14:textId="29A5352D" w:rsidR="00AE5DCE" w:rsidRPr="00AE5DCE" w:rsidRDefault="00007776" w:rsidP="00AE5DCE">
      <w:pPr>
        <w:pStyle w:val="FLSBody"/>
        <w:rPr>
          <w:lang w:val="en-GB"/>
        </w:rPr>
      </w:pPr>
      <w:proofErr w:type="spellStart"/>
      <w:r>
        <w:rPr>
          <w:lang w:val="en-GB"/>
        </w:rPr>
        <w:t>Midmar</w:t>
      </w:r>
      <w:proofErr w:type="spellEnd"/>
      <w:r w:rsidR="00AE5DCE" w:rsidRPr="00AE5DCE">
        <w:rPr>
          <w:lang w:val="en-GB"/>
        </w:rPr>
        <w:t xml:space="preserve"> includes </w:t>
      </w:r>
      <w:r>
        <w:rPr>
          <w:lang w:val="en-GB"/>
        </w:rPr>
        <w:t>24.8</w:t>
      </w:r>
      <w:r w:rsidR="00AE5DCE" w:rsidRPr="00AE5DCE">
        <w:rPr>
          <w:lang w:val="en-GB"/>
        </w:rPr>
        <w:t xml:space="preserve"> hectares of </w:t>
      </w:r>
      <w:r w:rsidR="00796EA5">
        <w:rPr>
          <w:lang w:val="en-GB"/>
        </w:rPr>
        <w:t>forest</w:t>
      </w:r>
      <w:r>
        <w:rPr>
          <w:lang w:val="en-GB"/>
        </w:rPr>
        <w:t xml:space="preserve"> designated as ancient woodland and</w:t>
      </w:r>
      <w:r w:rsidR="00EC4CA0">
        <w:rPr>
          <w:lang w:val="en-GB"/>
        </w:rPr>
        <w:t xml:space="preserve"> 297.1 hectares of </w:t>
      </w:r>
      <w:r w:rsidR="00AE5DCE" w:rsidRPr="00AE5DCE">
        <w:rPr>
          <w:lang w:val="en-GB"/>
        </w:rPr>
        <w:t>long-established woodland of plantation origin</w:t>
      </w:r>
      <w:r w:rsidR="00796EA5">
        <w:rPr>
          <w:lang w:val="en-GB"/>
        </w:rPr>
        <w:t xml:space="preserve"> (LEPO)</w:t>
      </w:r>
      <w:r w:rsidR="00AE5DCE" w:rsidRPr="00AE5DCE">
        <w:rPr>
          <w:lang w:val="en-GB"/>
        </w:rPr>
        <w:t>. These sites have been wooded since at least 1750 or 1860. We’ll assess their potential and manage them using the most up-to-date guidance.</w:t>
      </w:r>
    </w:p>
    <w:p w14:paraId="0DAC7C98" w14:textId="77777777" w:rsidR="002211E4" w:rsidRPr="00820119" w:rsidRDefault="002211E4" w:rsidP="002211E4">
      <w:pPr>
        <w:pStyle w:val="FLSHeadingBold4"/>
      </w:pPr>
    </w:p>
    <w:sectPr w:rsidR="002211E4" w:rsidRPr="00820119" w:rsidSect="00D52DA1">
      <w:footerReference w:type="default" r:id="rId13"/>
      <w:headerReference w:type="first" r:id="rId14"/>
      <w:footerReference w:type="first" r:id="rId15"/>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61062" w14:textId="77777777" w:rsidR="00820119" w:rsidRDefault="00820119" w:rsidP="00DA5B6C">
      <w:r>
        <w:separator/>
      </w:r>
    </w:p>
  </w:endnote>
  <w:endnote w:type="continuationSeparator" w:id="0">
    <w:p w14:paraId="15920E6D" w14:textId="77777777" w:rsidR="00820119" w:rsidRDefault="00820119" w:rsidP="00DA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1FD1" w14:textId="7018B51F" w:rsidR="00A77AB5" w:rsidRDefault="001332FE" w:rsidP="00A77AB5">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w:t>
    </w:r>
    <w:r w:rsidR="00CD6DF3">
      <w:rPr>
        <w:noProof/>
      </w:rPr>
      <w:t>Midmar</w:t>
    </w:r>
    <w:r w:rsidR="00A77AB5">
      <w:rPr>
        <w:noProof/>
      </w:rPr>
      <w:t xml:space="preserve"> LMP Intial Consultation</w:t>
    </w:r>
    <w:r w:rsidR="00A77AB5" w:rsidRPr="00FB5171">
      <w:rPr>
        <w:noProof/>
      </w:rPr>
      <w:t xml:space="preserve"> | </w:t>
    </w:r>
    <w:r w:rsidR="00CD6DF3">
      <w:rPr>
        <w:noProof/>
      </w:rPr>
      <w:t>June</w:t>
    </w:r>
    <w:r w:rsidR="00A77AB5">
      <w:rPr>
        <w:noProof/>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899D" w14:textId="53FAAB65" w:rsidR="001332FE" w:rsidRDefault="001332FE" w:rsidP="001332FE">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w:t>
    </w:r>
    <w:r w:rsidR="00525022">
      <w:rPr>
        <w:noProof/>
      </w:rPr>
      <w:t>Midmar</w:t>
    </w:r>
    <w:r>
      <w:rPr>
        <w:noProof/>
      </w:rPr>
      <w:t xml:space="preserve"> LMP Intial Consultation</w:t>
    </w:r>
    <w:r w:rsidRPr="00FB5171">
      <w:rPr>
        <w:noProof/>
      </w:rPr>
      <w:t xml:space="preserve"> | </w:t>
    </w:r>
    <w:r w:rsidR="00525022">
      <w:rPr>
        <w:noProof/>
      </w:rPr>
      <w:t>June</w:t>
    </w:r>
    <w:r w:rsidR="00FC794A">
      <w:rPr>
        <w:noProof/>
      </w:rPr>
      <w:t xml:space="preserve"> 202</w:t>
    </w:r>
    <w:r w:rsidR="00A77AB5">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769B" w14:textId="77777777" w:rsidR="00820119" w:rsidRDefault="00820119" w:rsidP="00DA5B6C">
      <w:r>
        <w:separator/>
      </w:r>
    </w:p>
  </w:footnote>
  <w:footnote w:type="continuationSeparator" w:id="0">
    <w:p w14:paraId="21871BD2" w14:textId="77777777" w:rsidR="00820119" w:rsidRDefault="00820119" w:rsidP="00DA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D9EF" w14:textId="598130DD" w:rsidR="00820119" w:rsidRDefault="001332FE" w:rsidP="00787B4C">
    <w:pPr>
      <w:ind w:left="-993"/>
    </w:pPr>
    <w:r>
      <w:rPr>
        <w:noProof/>
      </w:rPr>
      <w:drawing>
        <wp:inline distT="0" distB="0" distL="0" distR="0" wp14:anchorId="4C3C69C6" wp14:editId="4FDF3536">
          <wp:extent cx="7677150" cy="1449597"/>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696599" cy="1453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ABE4F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0102357"/>
    <w:multiLevelType w:val="multilevel"/>
    <w:tmpl w:val="ED50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C85C8E"/>
    <w:multiLevelType w:val="multilevel"/>
    <w:tmpl w:val="FC9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2"/>
  </w:num>
  <w:num w:numId="2" w16cid:durableId="1488665584">
    <w:abstractNumId w:val="7"/>
  </w:num>
  <w:num w:numId="3" w16cid:durableId="586156747">
    <w:abstractNumId w:val="1"/>
  </w:num>
  <w:num w:numId="4" w16cid:durableId="1371146966">
    <w:abstractNumId w:val="5"/>
  </w:num>
  <w:num w:numId="5" w16cid:durableId="1999768841">
    <w:abstractNumId w:val="3"/>
  </w:num>
  <w:num w:numId="6" w16cid:durableId="1076976529">
    <w:abstractNumId w:val="0"/>
  </w:num>
  <w:num w:numId="7" w16cid:durableId="1994017492">
    <w:abstractNumId w:val="6"/>
  </w:num>
  <w:num w:numId="8" w16cid:durableId="139350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19"/>
    <w:rsid w:val="00007776"/>
    <w:rsid w:val="0002630E"/>
    <w:rsid w:val="000278A6"/>
    <w:rsid w:val="00033926"/>
    <w:rsid w:val="000525CB"/>
    <w:rsid w:val="000B162C"/>
    <w:rsid w:val="000B6634"/>
    <w:rsid w:val="00103FCF"/>
    <w:rsid w:val="001120D7"/>
    <w:rsid w:val="001332FE"/>
    <w:rsid w:val="00135506"/>
    <w:rsid w:val="0014037D"/>
    <w:rsid w:val="00142C6B"/>
    <w:rsid w:val="00154AAA"/>
    <w:rsid w:val="00155C4F"/>
    <w:rsid w:val="0017415E"/>
    <w:rsid w:val="00177C94"/>
    <w:rsid w:val="00192A36"/>
    <w:rsid w:val="001A7C0F"/>
    <w:rsid w:val="001F2DCE"/>
    <w:rsid w:val="0020052E"/>
    <w:rsid w:val="00204906"/>
    <w:rsid w:val="00220626"/>
    <w:rsid w:val="002211E4"/>
    <w:rsid w:val="002406AF"/>
    <w:rsid w:val="0025390E"/>
    <w:rsid w:val="002A24F4"/>
    <w:rsid w:val="002C63D6"/>
    <w:rsid w:val="002E01F8"/>
    <w:rsid w:val="002E2188"/>
    <w:rsid w:val="0030410B"/>
    <w:rsid w:val="00305586"/>
    <w:rsid w:val="00320912"/>
    <w:rsid w:val="00321C99"/>
    <w:rsid w:val="00327A71"/>
    <w:rsid w:val="0033593C"/>
    <w:rsid w:val="00381112"/>
    <w:rsid w:val="003B64F5"/>
    <w:rsid w:val="003B7DA7"/>
    <w:rsid w:val="003D2126"/>
    <w:rsid w:val="003D5DF0"/>
    <w:rsid w:val="003E70B1"/>
    <w:rsid w:val="003F2973"/>
    <w:rsid w:val="003F7776"/>
    <w:rsid w:val="00407F61"/>
    <w:rsid w:val="00444468"/>
    <w:rsid w:val="004862ED"/>
    <w:rsid w:val="0049759C"/>
    <w:rsid w:val="004A3702"/>
    <w:rsid w:val="004B7E90"/>
    <w:rsid w:val="004D2DED"/>
    <w:rsid w:val="004D616D"/>
    <w:rsid w:val="004F380D"/>
    <w:rsid w:val="004F38DE"/>
    <w:rsid w:val="0050610A"/>
    <w:rsid w:val="0051308F"/>
    <w:rsid w:val="00515246"/>
    <w:rsid w:val="00525022"/>
    <w:rsid w:val="0053563D"/>
    <w:rsid w:val="00545187"/>
    <w:rsid w:val="00565398"/>
    <w:rsid w:val="00565758"/>
    <w:rsid w:val="00572FFF"/>
    <w:rsid w:val="005866C7"/>
    <w:rsid w:val="005866D8"/>
    <w:rsid w:val="00595E9D"/>
    <w:rsid w:val="005C79FB"/>
    <w:rsid w:val="005D2087"/>
    <w:rsid w:val="005D26E2"/>
    <w:rsid w:val="005E223F"/>
    <w:rsid w:val="005F5460"/>
    <w:rsid w:val="005F631F"/>
    <w:rsid w:val="00601FB5"/>
    <w:rsid w:val="006136F2"/>
    <w:rsid w:val="00643200"/>
    <w:rsid w:val="00645688"/>
    <w:rsid w:val="00664672"/>
    <w:rsid w:val="00682EE6"/>
    <w:rsid w:val="0068427C"/>
    <w:rsid w:val="00685B9A"/>
    <w:rsid w:val="006E7376"/>
    <w:rsid w:val="006F65BE"/>
    <w:rsid w:val="00723FEB"/>
    <w:rsid w:val="00730D23"/>
    <w:rsid w:val="00746DAB"/>
    <w:rsid w:val="00760ADB"/>
    <w:rsid w:val="0078651A"/>
    <w:rsid w:val="00787B4C"/>
    <w:rsid w:val="00796989"/>
    <w:rsid w:val="00796EA5"/>
    <w:rsid w:val="007E739A"/>
    <w:rsid w:val="007F5AA6"/>
    <w:rsid w:val="008162F4"/>
    <w:rsid w:val="00820119"/>
    <w:rsid w:val="00826EC9"/>
    <w:rsid w:val="0084233C"/>
    <w:rsid w:val="00851627"/>
    <w:rsid w:val="008643C4"/>
    <w:rsid w:val="008654C2"/>
    <w:rsid w:val="00873E15"/>
    <w:rsid w:val="00896E42"/>
    <w:rsid w:val="008B108A"/>
    <w:rsid w:val="008B1311"/>
    <w:rsid w:val="008D7440"/>
    <w:rsid w:val="008D7EBF"/>
    <w:rsid w:val="008E14D3"/>
    <w:rsid w:val="008E4664"/>
    <w:rsid w:val="009028CB"/>
    <w:rsid w:val="00915DAA"/>
    <w:rsid w:val="00996645"/>
    <w:rsid w:val="00997ACD"/>
    <w:rsid w:val="009B49BC"/>
    <w:rsid w:val="009F2566"/>
    <w:rsid w:val="00A13D98"/>
    <w:rsid w:val="00A1467D"/>
    <w:rsid w:val="00A22DD0"/>
    <w:rsid w:val="00A25CAA"/>
    <w:rsid w:val="00A51AB2"/>
    <w:rsid w:val="00A5386D"/>
    <w:rsid w:val="00A734FD"/>
    <w:rsid w:val="00A75B27"/>
    <w:rsid w:val="00A77AB5"/>
    <w:rsid w:val="00A93F56"/>
    <w:rsid w:val="00AC04DF"/>
    <w:rsid w:val="00AE5DCE"/>
    <w:rsid w:val="00B039B6"/>
    <w:rsid w:val="00B07461"/>
    <w:rsid w:val="00B3359E"/>
    <w:rsid w:val="00B341F7"/>
    <w:rsid w:val="00B42C07"/>
    <w:rsid w:val="00B430AC"/>
    <w:rsid w:val="00B65262"/>
    <w:rsid w:val="00B71671"/>
    <w:rsid w:val="00B9710F"/>
    <w:rsid w:val="00BA6838"/>
    <w:rsid w:val="00BB26FF"/>
    <w:rsid w:val="00BC7D49"/>
    <w:rsid w:val="00BF338D"/>
    <w:rsid w:val="00C027A1"/>
    <w:rsid w:val="00C111B8"/>
    <w:rsid w:val="00C13D5F"/>
    <w:rsid w:val="00C2240C"/>
    <w:rsid w:val="00C444EF"/>
    <w:rsid w:val="00C75CD6"/>
    <w:rsid w:val="00CB72E0"/>
    <w:rsid w:val="00CD14BF"/>
    <w:rsid w:val="00CD6DF3"/>
    <w:rsid w:val="00CD74AC"/>
    <w:rsid w:val="00CE49C7"/>
    <w:rsid w:val="00CE5DF1"/>
    <w:rsid w:val="00CF2299"/>
    <w:rsid w:val="00D0441B"/>
    <w:rsid w:val="00D35B91"/>
    <w:rsid w:val="00D4491B"/>
    <w:rsid w:val="00D5110A"/>
    <w:rsid w:val="00D51859"/>
    <w:rsid w:val="00D52DA1"/>
    <w:rsid w:val="00D904DD"/>
    <w:rsid w:val="00DA5433"/>
    <w:rsid w:val="00DA5B6C"/>
    <w:rsid w:val="00DE23F1"/>
    <w:rsid w:val="00DE5F96"/>
    <w:rsid w:val="00E32FF3"/>
    <w:rsid w:val="00E40F90"/>
    <w:rsid w:val="00E45543"/>
    <w:rsid w:val="00E5415F"/>
    <w:rsid w:val="00E72B73"/>
    <w:rsid w:val="00E81F81"/>
    <w:rsid w:val="00E9285E"/>
    <w:rsid w:val="00E930D6"/>
    <w:rsid w:val="00E974F6"/>
    <w:rsid w:val="00EA1451"/>
    <w:rsid w:val="00EB7A21"/>
    <w:rsid w:val="00EC4CA0"/>
    <w:rsid w:val="00EF23A0"/>
    <w:rsid w:val="00F00133"/>
    <w:rsid w:val="00F02793"/>
    <w:rsid w:val="00F2202D"/>
    <w:rsid w:val="00F234C1"/>
    <w:rsid w:val="00F56B72"/>
    <w:rsid w:val="00F71803"/>
    <w:rsid w:val="00F81FD6"/>
    <w:rsid w:val="00F8554C"/>
    <w:rsid w:val="00F86F85"/>
    <w:rsid w:val="00F917EF"/>
    <w:rsid w:val="00FB5171"/>
    <w:rsid w:val="00FC0EAB"/>
    <w:rsid w:val="00FC794A"/>
    <w:rsid w:val="00FD0DD8"/>
    <w:rsid w:val="00FD30DB"/>
    <w:rsid w:val="00FE7A28"/>
    <w:rsid w:val="00FF26DD"/>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99FCB"/>
  <w14:defaultImageDpi w14:val="0"/>
  <w15:docId w15:val="{725150CF-C51A-4F2B-959B-72CFC8E0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FE"/>
    <w:rPr>
      <w:rFonts w:cs="Times New Roman"/>
      <w:sz w:val="24"/>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D51859"/>
    <w:pPr>
      <w:autoSpaceDE w:val="0"/>
      <w:autoSpaceDN w:val="0"/>
      <w:adjustRightInd w:val="0"/>
      <w:spacing w:line="241" w:lineRule="atLeast"/>
    </w:pPr>
    <w:rPr>
      <w:b/>
      <w:color w:val="48A23F"/>
      <w:sz w:val="28"/>
      <w:szCs w:val="24"/>
      <w:lang w:val="en-GB"/>
    </w:rPr>
  </w:style>
  <w:style w:type="paragraph" w:styleId="Header">
    <w:name w:val="header"/>
    <w:basedOn w:val="Normal"/>
    <w:link w:val="HeaderChar"/>
    <w:uiPriority w:val="99"/>
    <w:unhideWhenUsed/>
    <w:rsid w:val="00723FEB"/>
    <w:pPr>
      <w:tabs>
        <w:tab w:val="center" w:pos="4513"/>
        <w:tab w:val="right" w:pos="9026"/>
      </w:tabs>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pPr>
  </w:style>
  <w:style w:type="paragraph" w:customStyle="1" w:styleId="FLSDocumentFooter">
    <w:name w:val="FLS Document Footer"/>
    <w:basedOn w:val="Normal"/>
    <w:qFormat/>
    <w:rsid w:val="0014037D"/>
    <w:pPr>
      <w:ind w:left="-454"/>
    </w:pPr>
    <w:rPr>
      <w:color w:val="000000" w:themeColor="text1"/>
      <w:szCs w:val="24"/>
    </w:rPr>
  </w:style>
  <w:style w:type="paragraph" w:styleId="BalloonText">
    <w:name w:val="Balloon Text"/>
    <w:basedOn w:val="Normal"/>
    <w:link w:val="BalloonTextChar"/>
    <w:uiPriority w:val="99"/>
    <w:semiHidden/>
    <w:unhideWhenUsed/>
    <w:rsid w:val="00DA5B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820119"/>
    <w:pPr>
      <w:spacing w:after="200" w:line="800" w:lineRule="exact"/>
      <w:contextualSpacing/>
      <w:jc w:val="center"/>
    </w:pPr>
    <w:rPr>
      <w:rFonts w:cs="Times New Roman"/>
      <w:b/>
      <w:color w:val="48A23F"/>
      <w:sz w:val="72"/>
      <w:szCs w:val="72"/>
      <w:lang w:val="en-US"/>
    </w:rPr>
  </w:style>
  <w:style w:type="paragraph" w:customStyle="1" w:styleId="FLSCoverBody">
    <w:name w:val="FLS CoverBody"/>
    <w:autoRedefine/>
    <w:qFormat/>
    <w:rsid w:val="003D2126"/>
    <w:pPr>
      <w:spacing w:after="200" w:line="440" w:lineRule="exact"/>
      <w:contextualSpacing/>
      <w:jc w:val="center"/>
    </w:pPr>
    <w:rPr>
      <w:rFonts w:cs="Times New Roman"/>
      <w:b/>
      <w:color w:val="48A23F"/>
      <w:sz w:val="36"/>
      <w:szCs w:val="36"/>
    </w:rPr>
  </w:style>
  <w:style w:type="paragraph" w:customStyle="1" w:styleId="FLSHeading2Bold">
    <w:name w:val="FLS Heading 2 Bold"/>
    <w:autoRedefine/>
    <w:qFormat/>
    <w:rsid w:val="0017415E"/>
    <w:pPr>
      <w:spacing w:after="160" w:line="480" w:lineRule="exact"/>
      <w:contextualSpacing/>
    </w:pPr>
    <w:rPr>
      <w:rFonts w:cs="Times New Roman"/>
      <w:b/>
      <w:color w:val="48A23F"/>
      <w:sz w:val="52"/>
      <w:szCs w:val="22"/>
      <w:lang w:val="en-US"/>
    </w:rPr>
  </w:style>
  <w:style w:type="paragraph" w:customStyle="1" w:styleId="FLSHeading2">
    <w:name w:val="FLS Heading 2"/>
    <w:autoRedefine/>
    <w:qFormat/>
    <w:rsid w:val="0017415E"/>
    <w:pPr>
      <w:spacing w:after="160" w:line="480" w:lineRule="exact"/>
      <w:contextualSpacing/>
    </w:pPr>
    <w:rPr>
      <w:rFonts w:cs="Times New Roman"/>
      <w:color w:val="48A23F"/>
      <w:sz w:val="52"/>
      <w:szCs w:val="22"/>
      <w:lang w:val="en-US"/>
    </w:rPr>
  </w:style>
  <w:style w:type="paragraph" w:customStyle="1" w:styleId="FLSHeading3Bold">
    <w:name w:val="FLS Heading 3 Bold"/>
    <w:autoRedefine/>
    <w:qFormat/>
    <w:rsid w:val="005F5460"/>
    <w:pPr>
      <w:spacing w:after="160" w:line="400" w:lineRule="exact"/>
      <w:contextualSpacing/>
    </w:pPr>
    <w:rPr>
      <w:rFonts w:cs="Times New Roman"/>
      <w:b/>
      <w:bCs/>
      <w:color w:val="48A23F"/>
      <w:sz w:val="44"/>
      <w:szCs w:val="22"/>
      <w:lang w:val="en-US"/>
    </w:rPr>
  </w:style>
  <w:style w:type="paragraph" w:customStyle="1" w:styleId="FLSHeading3">
    <w:name w:val="FLS Heading 3"/>
    <w:autoRedefine/>
    <w:qFormat/>
    <w:rsid w:val="00177C94"/>
    <w:pPr>
      <w:spacing w:after="160" w:line="400" w:lineRule="exact"/>
      <w:contextualSpacing/>
    </w:pPr>
    <w:rPr>
      <w:rFonts w:cs="Times New Roman"/>
      <w:bCs/>
      <w:color w:val="005E00"/>
      <w:sz w:val="44"/>
      <w:szCs w:val="22"/>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1332FE"/>
    <w:pPr>
      <w:spacing w:before="240" w:after="240"/>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F00133"/>
    <w:pPr>
      <w:spacing w:after="160" w:line="320" w:lineRule="exact"/>
      <w:contextualSpacing/>
      <w:jc w:val="center"/>
    </w:pPr>
    <w:rPr>
      <w:rFonts w:cs="Times New Roman"/>
      <w:bCs/>
      <w:color w:val="48A23F"/>
      <w:sz w:val="36"/>
      <w:szCs w:val="22"/>
      <w:lang w:val="en-US"/>
    </w:rPr>
  </w:style>
  <w:style w:type="paragraph" w:customStyle="1" w:styleId="FLSBullets">
    <w:name w:val="FLS Bullets"/>
    <w:basedOn w:val="Default"/>
    <w:qFormat/>
    <w:rsid w:val="005C79FB"/>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33593C"/>
    <w:pPr>
      <w:numPr>
        <w:numId w:val="1"/>
      </w:numPr>
      <w:autoSpaceDE w:val="0"/>
      <w:autoSpaceDN w:val="0"/>
      <w:adjustRightInd w:val="0"/>
      <w:contextualSpacing/>
    </w:pPr>
    <w:rPr>
      <w:rFonts w:cs="Calibri"/>
      <w:color w:val="221E1F"/>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5F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3392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3F2973"/>
    <w:rPr>
      <w:iCs/>
      <w:color w:val="000000" w:themeColor="text1"/>
      <w:szCs w:val="18"/>
    </w:rPr>
  </w:style>
  <w:style w:type="character" w:styleId="Strong">
    <w:name w:val="Strong"/>
    <w:basedOn w:val="DefaultParagraphFont"/>
    <w:uiPriority w:val="22"/>
    <w:qFormat/>
    <w:rsid w:val="003F2973"/>
    <w:rPr>
      <w:rFonts w:asciiTheme="minorHAnsi" w:hAnsiTheme="minorHAnsi"/>
      <w:b/>
      <w:bCs/>
      <w:sz w:val="28"/>
    </w:rPr>
  </w:style>
  <w:style w:type="character" w:styleId="UnresolvedMention">
    <w:name w:val="Unresolved Mention"/>
    <w:basedOn w:val="DefaultParagraphFont"/>
    <w:uiPriority w:val="99"/>
    <w:semiHidden/>
    <w:unhideWhenUsed/>
    <w:rsid w:val="00A5386D"/>
    <w:rPr>
      <w:color w:val="605E5C"/>
      <w:shd w:val="clear" w:color="auto" w:fill="E1DFDD"/>
    </w:rPr>
  </w:style>
  <w:style w:type="paragraph" w:styleId="Title">
    <w:name w:val="Title"/>
    <w:basedOn w:val="Normal"/>
    <w:next w:val="Normal"/>
    <w:link w:val="TitleChar"/>
    <w:uiPriority w:val="10"/>
    <w:qFormat/>
    <w:rsid w:val="001332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2FE"/>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AE5DC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927">
      <w:bodyDiv w:val="1"/>
      <w:marLeft w:val="0"/>
      <w:marRight w:val="0"/>
      <w:marTop w:val="0"/>
      <w:marBottom w:val="0"/>
      <w:divBdr>
        <w:top w:val="none" w:sz="0" w:space="0" w:color="auto"/>
        <w:left w:val="none" w:sz="0" w:space="0" w:color="auto"/>
        <w:bottom w:val="none" w:sz="0" w:space="0" w:color="auto"/>
        <w:right w:val="none" w:sz="0" w:space="0" w:color="auto"/>
      </w:divBdr>
    </w:div>
    <w:div w:id="17314924">
      <w:bodyDiv w:val="1"/>
      <w:marLeft w:val="0"/>
      <w:marRight w:val="0"/>
      <w:marTop w:val="0"/>
      <w:marBottom w:val="0"/>
      <w:divBdr>
        <w:top w:val="none" w:sz="0" w:space="0" w:color="auto"/>
        <w:left w:val="none" w:sz="0" w:space="0" w:color="auto"/>
        <w:bottom w:val="none" w:sz="0" w:space="0" w:color="auto"/>
        <w:right w:val="none" w:sz="0" w:space="0" w:color="auto"/>
      </w:divBdr>
    </w:div>
    <w:div w:id="217666857">
      <w:bodyDiv w:val="1"/>
      <w:marLeft w:val="0"/>
      <w:marRight w:val="0"/>
      <w:marTop w:val="0"/>
      <w:marBottom w:val="0"/>
      <w:divBdr>
        <w:top w:val="none" w:sz="0" w:space="0" w:color="auto"/>
        <w:left w:val="none" w:sz="0" w:space="0" w:color="auto"/>
        <w:bottom w:val="none" w:sz="0" w:space="0" w:color="auto"/>
        <w:right w:val="none" w:sz="0" w:space="0" w:color="auto"/>
      </w:divBdr>
    </w:div>
    <w:div w:id="222369762">
      <w:bodyDiv w:val="1"/>
      <w:marLeft w:val="0"/>
      <w:marRight w:val="0"/>
      <w:marTop w:val="0"/>
      <w:marBottom w:val="0"/>
      <w:divBdr>
        <w:top w:val="none" w:sz="0" w:space="0" w:color="auto"/>
        <w:left w:val="none" w:sz="0" w:space="0" w:color="auto"/>
        <w:bottom w:val="none" w:sz="0" w:space="0" w:color="auto"/>
        <w:right w:val="none" w:sz="0" w:space="0" w:color="auto"/>
      </w:divBdr>
    </w:div>
    <w:div w:id="403265366">
      <w:bodyDiv w:val="1"/>
      <w:marLeft w:val="0"/>
      <w:marRight w:val="0"/>
      <w:marTop w:val="0"/>
      <w:marBottom w:val="0"/>
      <w:divBdr>
        <w:top w:val="none" w:sz="0" w:space="0" w:color="auto"/>
        <w:left w:val="none" w:sz="0" w:space="0" w:color="auto"/>
        <w:bottom w:val="none" w:sz="0" w:space="0" w:color="auto"/>
        <w:right w:val="none" w:sz="0" w:space="0" w:color="auto"/>
      </w:divBdr>
    </w:div>
    <w:div w:id="444278478">
      <w:bodyDiv w:val="1"/>
      <w:marLeft w:val="0"/>
      <w:marRight w:val="0"/>
      <w:marTop w:val="0"/>
      <w:marBottom w:val="0"/>
      <w:divBdr>
        <w:top w:val="none" w:sz="0" w:space="0" w:color="auto"/>
        <w:left w:val="none" w:sz="0" w:space="0" w:color="auto"/>
        <w:bottom w:val="none" w:sz="0" w:space="0" w:color="auto"/>
        <w:right w:val="none" w:sz="0" w:space="0" w:color="auto"/>
      </w:divBdr>
    </w:div>
    <w:div w:id="496770880">
      <w:bodyDiv w:val="1"/>
      <w:marLeft w:val="0"/>
      <w:marRight w:val="0"/>
      <w:marTop w:val="0"/>
      <w:marBottom w:val="0"/>
      <w:divBdr>
        <w:top w:val="none" w:sz="0" w:space="0" w:color="auto"/>
        <w:left w:val="none" w:sz="0" w:space="0" w:color="auto"/>
        <w:bottom w:val="none" w:sz="0" w:space="0" w:color="auto"/>
        <w:right w:val="none" w:sz="0" w:space="0" w:color="auto"/>
      </w:divBdr>
    </w:div>
    <w:div w:id="637534954">
      <w:bodyDiv w:val="1"/>
      <w:marLeft w:val="0"/>
      <w:marRight w:val="0"/>
      <w:marTop w:val="0"/>
      <w:marBottom w:val="0"/>
      <w:divBdr>
        <w:top w:val="none" w:sz="0" w:space="0" w:color="auto"/>
        <w:left w:val="none" w:sz="0" w:space="0" w:color="auto"/>
        <w:bottom w:val="none" w:sz="0" w:space="0" w:color="auto"/>
        <w:right w:val="none" w:sz="0" w:space="0" w:color="auto"/>
      </w:divBdr>
    </w:div>
    <w:div w:id="650014519">
      <w:bodyDiv w:val="1"/>
      <w:marLeft w:val="0"/>
      <w:marRight w:val="0"/>
      <w:marTop w:val="0"/>
      <w:marBottom w:val="0"/>
      <w:divBdr>
        <w:top w:val="none" w:sz="0" w:space="0" w:color="auto"/>
        <w:left w:val="none" w:sz="0" w:space="0" w:color="auto"/>
        <w:bottom w:val="none" w:sz="0" w:space="0" w:color="auto"/>
        <w:right w:val="none" w:sz="0" w:space="0" w:color="auto"/>
      </w:divBdr>
    </w:div>
    <w:div w:id="947540659">
      <w:bodyDiv w:val="1"/>
      <w:marLeft w:val="0"/>
      <w:marRight w:val="0"/>
      <w:marTop w:val="0"/>
      <w:marBottom w:val="0"/>
      <w:divBdr>
        <w:top w:val="none" w:sz="0" w:space="0" w:color="auto"/>
        <w:left w:val="none" w:sz="0" w:space="0" w:color="auto"/>
        <w:bottom w:val="none" w:sz="0" w:space="0" w:color="auto"/>
        <w:right w:val="none" w:sz="0" w:space="0" w:color="auto"/>
      </w:divBdr>
    </w:div>
    <w:div w:id="1133399909">
      <w:bodyDiv w:val="1"/>
      <w:marLeft w:val="0"/>
      <w:marRight w:val="0"/>
      <w:marTop w:val="0"/>
      <w:marBottom w:val="0"/>
      <w:divBdr>
        <w:top w:val="none" w:sz="0" w:space="0" w:color="auto"/>
        <w:left w:val="none" w:sz="0" w:space="0" w:color="auto"/>
        <w:bottom w:val="none" w:sz="0" w:space="0" w:color="auto"/>
        <w:right w:val="none" w:sz="0" w:space="0" w:color="auto"/>
      </w:divBdr>
    </w:div>
    <w:div w:id="1190341019">
      <w:bodyDiv w:val="1"/>
      <w:marLeft w:val="0"/>
      <w:marRight w:val="0"/>
      <w:marTop w:val="0"/>
      <w:marBottom w:val="0"/>
      <w:divBdr>
        <w:top w:val="none" w:sz="0" w:space="0" w:color="auto"/>
        <w:left w:val="none" w:sz="0" w:space="0" w:color="auto"/>
        <w:bottom w:val="none" w:sz="0" w:space="0" w:color="auto"/>
        <w:right w:val="none" w:sz="0" w:space="0" w:color="auto"/>
      </w:divBdr>
    </w:div>
    <w:div w:id="1190527778">
      <w:bodyDiv w:val="1"/>
      <w:marLeft w:val="0"/>
      <w:marRight w:val="0"/>
      <w:marTop w:val="0"/>
      <w:marBottom w:val="0"/>
      <w:divBdr>
        <w:top w:val="none" w:sz="0" w:space="0" w:color="auto"/>
        <w:left w:val="none" w:sz="0" w:space="0" w:color="auto"/>
        <w:bottom w:val="none" w:sz="0" w:space="0" w:color="auto"/>
        <w:right w:val="none" w:sz="0" w:space="0" w:color="auto"/>
      </w:divBdr>
    </w:div>
    <w:div w:id="1216041940">
      <w:bodyDiv w:val="1"/>
      <w:marLeft w:val="0"/>
      <w:marRight w:val="0"/>
      <w:marTop w:val="0"/>
      <w:marBottom w:val="0"/>
      <w:divBdr>
        <w:top w:val="none" w:sz="0" w:space="0" w:color="auto"/>
        <w:left w:val="none" w:sz="0" w:space="0" w:color="auto"/>
        <w:bottom w:val="none" w:sz="0" w:space="0" w:color="auto"/>
        <w:right w:val="none" w:sz="0" w:space="0" w:color="auto"/>
      </w:divBdr>
    </w:div>
    <w:div w:id="1337197687">
      <w:bodyDiv w:val="1"/>
      <w:marLeft w:val="0"/>
      <w:marRight w:val="0"/>
      <w:marTop w:val="0"/>
      <w:marBottom w:val="0"/>
      <w:divBdr>
        <w:top w:val="none" w:sz="0" w:space="0" w:color="auto"/>
        <w:left w:val="none" w:sz="0" w:space="0" w:color="auto"/>
        <w:bottom w:val="none" w:sz="0" w:space="0" w:color="auto"/>
        <w:right w:val="none" w:sz="0" w:space="0" w:color="auto"/>
      </w:divBdr>
    </w:div>
    <w:div w:id="1414204283">
      <w:bodyDiv w:val="1"/>
      <w:marLeft w:val="0"/>
      <w:marRight w:val="0"/>
      <w:marTop w:val="0"/>
      <w:marBottom w:val="0"/>
      <w:divBdr>
        <w:top w:val="none" w:sz="0" w:space="0" w:color="auto"/>
        <w:left w:val="none" w:sz="0" w:space="0" w:color="auto"/>
        <w:bottom w:val="none" w:sz="0" w:space="0" w:color="auto"/>
        <w:right w:val="none" w:sz="0" w:space="0" w:color="auto"/>
      </w:divBdr>
    </w:div>
    <w:div w:id="1437141245">
      <w:bodyDiv w:val="1"/>
      <w:marLeft w:val="0"/>
      <w:marRight w:val="0"/>
      <w:marTop w:val="0"/>
      <w:marBottom w:val="0"/>
      <w:divBdr>
        <w:top w:val="none" w:sz="0" w:space="0" w:color="auto"/>
        <w:left w:val="none" w:sz="0" w:space="0" w:color="auto"/>
        <w:bottom w:val="none" w:sz="0" w:space="0" w:color="auto"/>
        <w:right w:val="none" w:sz="0" w:space="0" w:color="auto"/>
      </w:divBdr>
    </w:div>
    <w:div w:id="1502039375">
      <w:bodyDiv w:val="1"/>
      <w:marLeft w:val="0"/>
      <w:marRight w:val="0"/>
      <w:marTop w:val="0"/>
      <w:marBottom w:val="0"/>
      <w:divBdr>
        <w:top w:val="none" w:sz="0" w:space="0" w:color="auto"/>
        <w:left w:val="none" w:sz="0" w:space="0" w:color="auto"/>
        <w:bottom w:val="none" w:sz="0" w:space="0" w:color="auto"/>
        <w:right w:val="none" w:sz="0" w:space="0" w:color="auto"/>
      </w:divBdr>
    </w:div>
    <w:div w:id="1552883325">
      <w:bodyDiv w:val="1"/>
      <w:marLeft w:val="0"/>
      <w:marRight w:val="0"/>
      <w:marTop w:val="0"/>
      <w:marBottom w:val="0"/>
      <w:divBdr>
        <w:top w:val="none" w:sz="0" w:space="0" w:color="auto"/>
        <w:left w:val="none" w:sz="0" w:space="0" w:color="auto"/>
        <w:bottom w:val="none" w:sz="0" w:space="0" w:color="auto"/>
        <w:right w:val="none" w:sz="0" w:space="0" w:color="auto"/>
      </w:divBdr>
    </w:div>
    <w:div w:id="1594823066">
      <w:bodyDiv w:val="1"/>
      <w:marLeft w:val="0"/>
      <w:marRight w:val="0"/>
      <w:marTop w:val="0"/>
      <w:marBottom w:val="0"/>
      <w:divBdr>
        <w:top w:val="none" w:sz="0" w:space="0" w:color="auto"/>
        <w:left w:val="none" w:sz="0" w:space="0" w:color="auto"/>
        <w:bottom w:val="none" w:sz="0" w:space="0" w:color="auto"/>
        <w:right w:val="none" w:sz="0" w:space="0" w:color="auto"/>
      </w:divBdr>
    </w:div>
    <w:div w:id="1693454361">
      <w:bodyDiv w:val="1"/>
      <w:marLeft w:val="0"/>
      <w:marRight w:val="0"/>
      <w:marTop w:val="0"/>
      <w:marBottom w:val="0"/>
      <w:divBdr>
        <w:top w:val="none" w:sz="0" w:space="0" w:color="auto"/>
        <w:left w:val="none" w:sz="0" w:space="0" w:color="auto"/>
        <w:bottom w:val="none" w:sz="0" w:space="0" w:color="auto"/>
        <w:right w:val="none" w:sz="0" w:space="0" w:color="auto"/>
      </w:divBdr>
    </w:div>
    <w:div w:id="1837915783">
      <w:bodyDiv w:val="1"/>
      <w:marLeft w:val="0"/>
      <w:marRight w:val="0"/>
      <w:marTop w:val="0"/>
      <w:marBottom w:val="0"/>
      <w:divBdr>
        <w:top w:val="none" w:sz="0" w:space="0" w:color="auto"/>
        <w:left w:val="none" w:sz="0" w:space="0" w:color="auto"/>
        <w:bottom w:val="none" w:sz="0" w:space="0" w:color="auto"/>
        <w:right w:val="none" w:sz="0" w:space="0" w:color="auto"/>
      </w:divBdr>
    </w:div>
    <w:div w:id="1947035828">
      <w:bodyDiv w:val="1"/>
      <w:marLeft w:val="0"/>
      <w:marRight w:val="0"/>
      <w:marTop w:val="0"/>
      <w:marBottom w:val="0"/>
      <w:divBdr>
        <w:top w:val="none" w:sz="0" w:space="0" w:color="auto"/>
        <w:left w:val="none" w:sz="0" w:space="0" w:color="auto"/>
        <w:bottom w:val="none" w:sz="0" w:space="0" w:color="auto"/>
        <w:right w:val="none" w:sz="0" w:space="0" w:color="auto"/>
      </w:divBdr>
    </w:div>
    <w:div w:id="1962952431">
      <w:bodyDiv w:val="1"/>
      <w:marLeft w:val="0"/>
      <w:marRight w:val="0"/>
      <w:marTop w:val="0"/>
      <w:marBottom w:val="0"/>
      <w:divBdr>
        <w:top w:val="none" w:sz="0" w:space="0" w:color="auto"/>
        <w:left w:val="none" w:sz="0" w:space="0" w:color="auto"/>
        <w:bottom w:val="none" w:sz="0" w:space="0" w:color="auto"/>
        <w:right w:val="none" w:sz="0" w:space="0" w:color="auto"/>
      </w:divBdr>
    </w:div>
    <w:div w:id="2031490542">
      <w:bodyDiv w:val="1"/>
      <w:marLeft w:val="0"/>
      <w:marRight w:val="0"/>
      <w:marTop w:val="0"/>
      <w:marBottom w:val="0"/>
      <w:divBdr>
        <w:top w:val="none" w:sz="0" w:space="0" w:color="auto"/>
        <w:left w:val="none" w:sz="0" w:space="0" w:color="auto"/>
        <w:bottom w:val="none" w:sz="0" w:space="0" w:color="auto"/>
        <w:right w:val="none" w:sz="0" w:space="0" w:color="auto"/>
      </w:divBdr>
    </w:div>
    <w:div w:id="2143881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2200\Downloads\fls-A4-portrait-wordtemplate-nocover%20(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orestryandland.scot\Shares\FLS\EAST%20REGION\Planning%20and%20Environment\1.%20Forest%20Plans\513%2025%20Midmar\3.%20Draft%20LMP\1.%20Consultation\Reports\Current%20age%20cla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orestryandland.scot\Shares\FLS\EAST%20REGION\Planning%20and%20Environment\1.%20Forest%20Plans\513%2025%20Midmar\3.%20Draft%20LMP\1.%20Consultation\Reports\Current%20speci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Coverage by Age</a:t>
            </a:r>
            <a:r>
              <a:rPr lang="en-US" baseline="0"/>
              <a:t> Class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AgeClass_49048141_1b49_4294_994!$H$2</c:f>
              <c:strCache>
                <c:ptCount val="1"/>
                <c:pt idx="0">
                  <c:v>Area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2CA-4740-8755-D89186CB7D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2CA-4740-8755-D89186CB7D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2CA-4740-8755-D89186CB7D6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2CA-4740-8755-D89186CB7D6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2CA-4740-8755-D89186CB7D6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2CA-4740-8755-D89186CB7D6B}"/>
              </c:ext>
            </c:extLst>
          </c:dPt>
          <c:dLbls>
            <c:dLbl>
              <c:idx val="0"/>
              <c:layout>
                <c:manualLayout>
                  <c:x val="-0.10583628413708313"/>
                  <c:y val="0.1403132296875405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CA-4740-8755-D89186CB7D6B}"/>
                </c:ext>
              </c:extLst>
            </c:dLbl>
            <c:dLbl>
              <c:idx val="1"/>
              <c:layout>
                <c:manualLayout>
                  <c:x val="-0.16601749791762593"/>
                  <c:y val="0.154519747270574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CA-4740-8755-D89186CB7D6B}"/>
                </c:ext>
              </c:extLst>
            </c:dLbl>
            <c:dLbl>
              <c:idx val="2"/>
              <c:layout>
                <c:manualLayout>
                  <c:x val="-0.18521410293331678"/>
                  <c:y val="0.150798224805942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CA-4740-8755-D89186CB7D6B}"/>
                </c:ext>
              </c:extLst>
            </c:dLbl>
            <c:dLbl>
              <c:idx val="3"/>
              <c:layout>
                <c:manualLayout>
                  <c:x val="-0.21666816609438061"/>
                  <c:y val="-0.111762841572654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2CA-4740-8755-D89186CB7D6B}"/>
                </c:ext>
              </c:extLst>
            </c:dLbl>
            <c:dLbl>
              <c:idx val="4"/>
              <c:layout>
                <c:manualLayout>
                  <c:x val="0.13267528646472251"/>
                  <c:y val="-0.1527615367196403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2CA-4740-8755-D89186CB7D6B}"/>
                </c:ext>
              </c:extLst>
            </c:dLbl>
            <c:dLbl>
              <c:idx val="5"/>
              <c:layout>
                <c:manualLayout>
                  <c:x val="0.15790459795605122"/>
                  <c:y val="0.185824154815334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2CA-4740-8755-D89186CB7D6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overflow" horzOverflow="overflow"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AgeClass_49048141_1b49_4294_994!$F$3:$F$8</c:f>
              <c:strCache>
                <c:ptCount val="6"/>
                <c:pt idx="0">
                  <c:v>Establishment (0-10 years)</c:v>
                </c:pt>
                <c:pt idx="1">
                  <c:v>Thicket (11-20 years)</c:v>
                </c:pt>
                <c:pt idx="2">
                  <c:v>Pole Stage (21-30 years)</c:v>
                </c:pt>
                <c:pt idx="3">
                  <c:v>Mature High Forest (31-60 years)</c:v>
                </c:pt>
                <c:pt idx="4">
                  <c:v>Old High Forest (61+ years)</c:v>
                </c:pt>
                <c:pt idx="5">
                  <c:v>Open Ground/Felled Awaiting Restock</c:v>
                </c:pt>
              </c:strCache>
            </c:strRef>
          </c:cat>
          <c:val>
            <c:numRef>
              <c:f>AgeClass_49048141_1b49_4294_994!$H$3:$H$8</c:f>
              <c:numCache>
                <c:formatCode>0%</c:formatCode>
                <c:ptCount val="6"/>
                <c:pt idx="0">
                  <c:v>8.1454291207830792E-2</c:v>
                </c:pt>
                <c:pt idx="1">
                  <c:v>5.6109071840587312E-2</c:v>
                </c:pt>
                <c:pt idx="2">
                  <c:v>6.1352910330361825E-2</c:v>
                </c:pt>
                <c:pt idx="3">
                  <c:v>0.23772067820311132</c:v>
                </c:pt>
                <c:pt idx="4">
                  <c:v>0.24698479286837965</c:v>
                </c:pt>
                <c:pt idx="5">
                  <c:v>0.31637825554972904</c:v>
                </c:pt>
              </c:numCache>
            </c:numRef>
          </c:val>
          <c:extLst>
            <c:ext xmlns:c16="http://schemas.microsoft.com/office/drawing/2014/chart" uri="{C3380CC4-5D6E-409C-BE32-E72D297353CC}">
              <c16:uniqueId val="{0000000C-32CA-4740-8755-D89186CB7D6B}"/>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Species Coverage by Area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ComponentAreaSummary_Species_89!$H$1</c:f>
              <c:strCache>
                <c:ptCount val="1"/>
                <c:pt idx="0">
                  <c:v>Area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5DB-4644-8FF5-B06FE0847A7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5DB-4644-8FF5-B06FE0847A7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5DB-4644-8FF5-B06FE0847A7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5DB-4644-8FF5-B06FE0847A7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5DB-4644-8FF5-B06FE0847A7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5DB-4644-8FF5-B06FE0847A7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5DB-4644-8FF5-B06FE0847A7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5DB-4644-8FF5-B06FE0847A7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65DB-4644-8FF5-B06FE0847A74}"/>
              </c:ext>
            </c:extLst>
          </c:dPt>
          <c:dLbls>
            <c:dLbl>
              <c:idx val="0"/>
              <c:layout>
                <c:manualLayout>
                  <c:x val="-7.1777452237075018E-2"/>
                  <c:y val="4.355563235047221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DB-4644-8FF5-B06FE0847A74}"/>
                </c:ext>
              </c:extLst>
            </c:dLbl>
            <c:dLbl>
              <c:idx val="1"/>
              <c:layout>
                <c:manualLayout>
                  <c:x val="2.924998474027956E-2"/>
                  <c:y val="1.361934590622479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5DB-4644-8FF5-B06FE0847A74}"/>
                </c:ext>
              </c:extLst>
            </c:dLbl>
            <c:dLbl>
              <c:idx val="3"/>
              <c:layout>
                <c:manualLayout>
                  <c:x val="-4.2836019044131111E-2"/>
                  <c:y val="4.6693214352673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5DB-4644-8FF5-B06FE0847A74}"/>
                </c:ext>
              </c:extLst>
            </c:dLbl>
            <c:dLbl>
              <c:idx val="4"/>
              <c:layout>
                <c:manualLayout>
                  <c:x val="-0.11355795641823856"/>
                  <c:y val="4.96096893413059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5DB-4644-8FF5-B06FE0847A7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ComponentAreaSummary_Species_89!$F$2:$F$10</c:f>
              <c:strCache>
                <c:ptCount val="9"/>
                <c:pt idx="0">
                  <c:v>Mixed Broadleaves</c:v>
                </c:pt>
                <c:pt idx="1">
                  <c:v>Mixed Conifers</c:v>
                </c:pt>
                <c:pt idx="2">
                  <c:v>Larch</c:v>
                </c:pt>
                <c:pt idx="3">
                  <c:v>Lodgepole pine</c:v>
                </c:pt>
                <c:pt idx="4">
                  <c:v>Norway spruce</c:v>
                </c:pt>
                <c:pt idx="5">
                  <c:v>Scots pine</c:v>
                </c:pt>
                <c:pt idx="6">
                  <c:v>Sitka spruce</c:v>
                </c:pt>
                <c:pt idx="7">
                  <c:v>Open space</c:v>
                </c:pt>
                <c:pt idx="8">
                  <c:v>Felled awaiting restock</c:v>
                </c:pt>
              </c:strCache>
            </c:strRef>
          </c:cat>
          <c:val>
            <c:numRef>
              <c:f>ComponentAreaSummary_Species_89!$H$2:$H$10</c:f>
              <c:numCache>
                <c:formatCode>0%</c:formatCode>
                <c:ptCount val="9"/>
                <c:pt idx="0">
                  <c:v>3.2162209403950363E-2</c:v>
                </c:pt>
                <c:pt idx="1">
                  <c:v>1.2410417759133017E-2</c:v>
                </c:pt>
                <c:pt idx="2">
                  <c:v>5.838140185282293E-2</c:v>
                </c:pt>
                <c:pt idx="3">
                  <c:v>5.838140185282293E-2</c:v>
                </c:pt>
                <c:pt idx="4">
                  <c:v>8.3726621220066411E-2</c:v>
                </c:pt>
                <c:pt idx="5">
                  <c:v>0.11204334906484879</c:v>
                </c:pt>
                <c:pt idx="6">
                  <c:v>0.32651634329662649</c:v>
                </c:pt>
                <c:pt idx="7">
                  <c:v>0.11536444677503932</c:v>
                </c:pt>
                <c:pt idx="8">
                  <c:v>0.20101380877468975</c:v>
                </c:pt>
              </c:numCache>
            </c:numRef>
          </c:val>
          <c:extLst>
            <c:ext xmlns:c16="http://schemas.microsoft.com/office/drawing/2014/chart" uri="{C3380CC4-5D6E-409C-BE32-E72D297353CC}">
              <c16:uniqueId val="{00000012-65DB-4644-8FF5-B06FE0847A74}"/>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4" ma:contentTypeDescription="Create a new document." ma:contentTypeScope="" ma:versionID="31cd5e9d25fa82dded355ab876530ddf">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bc627e0b0b04cd7a0a5332db2465826e"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679022-aa0e-4e53-9863-a1210fe84f58}" ma:internalName="TaxCatchAll" ma:showField="CatchAllData" ma:web="c31fc03d-71c0-4ba8-8c0d-77e0aa053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27bc68-78bb-46d8-ae4b-e59785474be4">
      <Terms xmlns="http://schemas.microsoft.com/office/infopath/2007/PartnerControls"/>
    </lcf76f155ced4ddcb4097134ff3c332f>
    <TaxCatchAll xmlns="c31fc03d-71c0-4ba8-8c0d-77e0aa053b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F9FC-B074-47A8-8F49-57B94C6D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381A8-8612-4E41-9629-95AF455F5F28}">
  <ds:schemaRefs>
    <ds:schemaRef ds:uri="http://schemas.microsoft.com/sharepoint/v3/contenttype/forms"/>
  </ds:schemaRefs>
</ds:datastoreItem>
</file>

<file path=customXml/itemProps3.xml><?xml version="1.0" encoding="utf-8"?>
<ds:datastoreItem xmlns:ds="http://schemas.openxmlformats.org/officeDocument/2006/customXml" ds:itemID="{8923E3AD-EBC5-478B-B92B-D6D8F485D8F0}">
  <ds:schemaRefs>
    <ds:schemaRef ds:uri="http://schemas.microsoft.com/office/2006/metadata/properties"/>
    <ds:schemaRef ds:uri="http://schemas.microsoft.com/office/infopath/2007/PartnerControls"/>
    <ds:schemaRef ds:uri="8c27bc68-78bb-46d8-ae4b-e59785474be4"/>
    <ds:schemaRef ds:uri="c31fc03d-71c0-4ba8-8c0d-77e0aa053b49"/>
  </ds:schemaRefs>
</ds:datastoreItem>
</file>

<file path=customXml/itemProps4.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(8)</Template>
  <TotalTime>266</TotalTime>
  <Pages>5</Pages>
  <Words>1159</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Kayoueche-Reeve</dc:creator>
  <cp:keywords/>
  <dc:description/>
  <cp:lastModifiedBy>Euan Stewart</cp:lastModifiedBy>
  <cp:revision>10</cp:revision>
  <cp:lastPrinted>2019-02-22T11:07:00Z</cp:lastPrinted>
  <dcterms:created xsi:type="dcterms:W3CDTF">2025-05-22T10:30:00Z</dcterms:created>
  <dcterms:modified xsi:type="dcterms:W3CDTF">2025-05-22T14:56:00Z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0x010100350A466BC5AB074D9D3CD03216F737B7</vt:lpwstr>
  </property>
  <property fmtid="{D5CDD505-2E9C-101B-9397-08002B2CF9AE}" pid="3" name="MediaServiceImageTags">
    <vt:lpwstr/>
  </property>
</Properties>
</file>